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11" w:leftChars="50" w:hanging="1606" w:hangingChars="500"/>
        <w:rPr>
          <w:rFonts w:ascii="宋体" w:hAnsi="宋体"/>
          <w:b/>
          <w:sz w:val="32"/>
          <w:szCs w:val="32"/>
        </w:rPr>
      </w:pPr>
      <w:bookmarkStart w:id="0" w:name="_Toc291847016"/>
      <w:r>
        <w:rPr>
          <w:rFonts w:hint="eastAsia" w:ascii="宋体" w:hAnsi="宋体"/>
          <w:b/>
          <w:sz w:val="32"/>
          <w:szCs w:val="32"/>
        </w:rPr>
        <w:t>项目名称：重庆</w:t>
      </w:r>
      <w:bookmarkStart w:id="341" w:name="_GoBack"/>
      <w:bookmarkEnd w:id="341"/>
      <w:r>
        <w:rPr>
          <w:rFonts w:hint="eastAsia" w:ascii="宋体" w:hAnsi="宋体"/>
          <w:b/>
          <w:sz w:val="32"/>
          <w:szCs w:val="32"/>
        </w:rPr>
        <w:t>市立信职业教育中心202</w:t>
      </w:r>
      <w:r>
        <w:rPr>
          <w:rFonts w:ascii="宋体" w:hAnsi="宋体"/>
          <w:b/>
          <w:sz w:val="32"/>
          <w:szCs w:val="32"/>
        </w:rPr>
        <w:t>2</w:t>
      </w:r>
      <w:r>
        <w:rPr>
          <w:rFonts w:hint="eastAsia" w:ascii="宋体" w:hAnsi="宋体"/>
          <w:b/>
          <w:sz w:val="32"/>
          <w:szCs w:val="32"/>
        </w:rPr>
        <w:t>年出版教材供应服务采购</w:t>
      </w:r>
    </w:p>
    <w:p>
      <w:pPr>
        <w:spacing w:line="360" w:lineRule="auto"/>
        <w:ind w:firstLine="161" w:firstLineChars="50"/>
        <w:rPr>
          <w:rFonts w:ascii="宋体" w:hAnsi="宋体"/>
          <w:b/>
          <w:sz w:val="32"/>
          <w:szCs w:val="32"/>
        </w:rPr>
      </w:pPr>
      <w:r>
        <w:rPr>
          <w:rFonts w:hint="eastAsia" w:ascii="宋体" w:hAnsi="宋体"/>
          <w:b/>
          <w:sz w:val="32"/>
          <w:szCs w:val="32"/>
        </w:rPr>
        <w:t>项目编号：</w:t>
      </w:r>
    </w:p>
    <w:p>
      <w:pPr>
        <w:spacing w:line="360" w:lineRule="auto"/>
        <w:jc w:val="center"/>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jc w:val="center"/>
        <w:rPr>
          <w:rFonts w:ascii="宋体" w:hAnsi="宋体"/>
          <w:b/>
          <w:sz w:val="24"/>
        </w:rPr>
      </w:pPr>
      <w:r>
        <w:rPr>
          <w:rFonts w:hint="eastAsia" w:ascii="宋体" w:hAnsi="宋体"/>
          <w:b/>
          <w:sz w:val="96"/>
        </w:rPr>
        <w:t>招</w:t>
      </w:r>
      <w:r>
        <w:rPr>
          <w:rFonts w:ascii="宋体" w:hAnsi="宋体"/>
          <w:b/>
          <w:sz w:val="96"/>
        </w:rPr>
        <w:t xml:space="preserve"> </w:t>
      </w:r>
      <w:r>
        <w:rPr>
          <w:rFonts w:hint="eastAsia" w:ascii="宋体" w:hAnsi="宋体"/>
          <w:b/>
          <w:sz w:val="96"/>
        </w:rPr>
        <w:t>标</w:t>
      </w:r>
      <w:r>
        <w:rPr>
          <w:rFonts w:ascii="宋体" w:hAnsi="宋体"/>
          <w:b/>
          <w:sz w:val="96"/>
        </w:rPr>
        <w:t xml:space="preserve"> </w:t>
      </w:r>
      <w:r>
        <w:rPr>
          <w:rFonts w:hint="eastAsia" w:ascii="宋体" w:hAnsi="宋体"/>
          <w:b/>
          <w:sz w:val="96"/>
        </w:rPr>
        <w:t>文</w:t>
      </w:r>
      <w:r>
        <w:rPr>
          <w:rFonts w:ascii="宋体" w:hAnsi="宋体"/>
          <w:b/>
          <w:sz w:val="96"/>
        </w:rPr>
        <w:t xml:space="preserve"> </w:t>
      </w:r>
      <w:r>
        <w:rPr>
          <w:rFonts w:hint="eastAsia" w:ascii="宋体" w:hAnsi="宋体"/>
          <w:b/>
          <w:sz w:val="96"/>
        </w:rPr>
        <w:t>件</w:t>
      </w:r>
      <w:r>
        <w:rPr>
          <w:rFonts w:ascii="宋体" w:hAnsi="宋体"/>
          <w:b/>
          <w:sz w:val="24"/>
        </w:rPr>
        <w:t xml:space="preserve"> </w:t>
      </w:r>
    </w:p>
    <w:p>
      <w:pPr>
        <w:spacing w:line="360" w:lineRule="auto"/>
        <w:jc w:val="center"/>
        <w:rPr>
          <w:rFonts w:ascii="宋体" w:hAnsi="宋体"/>
          <w:b/>
          <w:sz w:val="24"/>
        </w:rPr>
      </w:pPr>
    </w:p>
    <w:p>
      <w:pPr>
        <w:spacing w:line="360" w:lineRule="auto"/>
        <w:jc w:val="left"/>
        <w:rPr>
          <w:rFonts w:ascii="宋体" w:hAnsi="宋体"/>
          <w:b/>
          <w:sz w:val="24"/>
        </w:rPr>
      </w:pPr>
    </w:p>
    <w:p>
      <w:pPr>
        <w:spacing w:line="360" w:lineRule="auto"/>
        <w:jc w:val="left"/>
        <w:rPr>
          <w:rFonts w:ascii="宋体" w:hAnsi="宋体"/>
          <w:b/>
          <w:sz w:val="24"/>
        </w:rPr>
      </w:pPr>
    </w:p>
    <w:p>
      <w:pPr>
        <w:spacing w:line="360" w:lineRule="auto"/>
        <w:jc w:val="left"/>
        <w:rPr>
          <w:rFonts w:ascii="宋体" w:hAnsi="宋体"/>
          <w:b/>
          <w:sz w:val="24"/>
        </w:rPr>
      </w:pPr>
    </w:p>
    <w:p>
      <w:pPr>
        <w:spacing w:line="360" w:lineRule="auto"/>
        <w:jc w:val="left"/>
        <w:rPr>
          <w:rFonts w:ascii="宋体" w:hAnsi="宋体"/>
          <w:b/>
          <w:sz w:val="24"/>
        </w:rPr>
      </w:pPr>
    </w:p>
    <w:p>
      <w:pPr>
        <w:spacing w:line="360" w:lineRule="auto"/>
        <w:jc w:val="left"/>
        <w:rPr>
          <w:rFonts w:ascii="宋体" w:hAnsi="宋体"/>
          <w:b/>
          <w:sz w:val="24"/>
        </w:rPr>
      </w:pPr>
    </w:p>
    <w:p>
      <w:pPr>
        <w:spacing w:line="360" w:lineRule="auto"/>
        <w:jc w:val="left"/>
        <w:rPr>
          <w:rFonts w:ascii="宋体" w:hAnsi="宋体"/>
          <w:b/>
          <w:sz w:val="24"/>
        </w:rPr>
      </w:pPr>
    </w:p>
    <w:p>
      <w:pPr>
        <w:spacing w:line="360" w:lineRule="auto"/>
        <w:jc w:val="left"/>
        <w:rPr>
          <w:rFonts w:ascii="宋体" w:hAnsi="宋体"/>
          <w:b/>
          <w:sz w:val="24"/>
        </w:rPr>
      </w:pPr>
    </w:p>
    <w:p>
      <w:pPr>
        <w:pStyle w:val="2"/>
        <w:ind w:left="1200" w:hanging="1200"/>
        <w:rPr>
          <w:sz w:val="40"/>
        </w:rPr>
      </w:pPr>
    </w:p>
    <w:p>
      <w:pPr>
        <w:pStyle w:val="21"/>
        <w:spacing w:line="360" w:lineRule="auto"/>
        <w:ind w:firstLine="420"/>
        <w:jc w:val="left"/>
        <w:rPr>
          <w:rFonts w:ascii="宋体" w:hAnsi="宋体" w:eastAsia="宋体" w:cs="Times New Roman"/>
          <w:b/>
        </w:rPr>
      </w:pPr>
    </w:p>
    <w:p>
      <w:pPr>
        <w:pStyle w:val="21"/>
        <w:spacing w:line="360" w:lineRule="auto"/>
        <w:ind w:firstLine="480"/>
        <w:jc w:val="left"/>
        <w:rPr>
          <w:rFonts w:ascii="宋体" w:hAnsi="宋体" w:eastAsia="宋体" w:cs="Times New Roman"/>
          <w:b/>
          <w:sz w:val="24"/>
        </w:rPr>
      </w:pPr>
    </w:p>
    <w:p>
      <w:pPr>
        <w:pStyle w:val="21"/>
        <w:spacing w:line="360" w:lineRule="auto"/>
        <w:ind w:firstLine="710" w:firstLineChars="221"/>
        <w:rPr>
          <w:rFonts w:ascii="宋体" w:hAnsi="宋体" w:eastAsia="宋体" w:cs="Times New Roman"/>
          <w:b/>
          <w:sz w:val="32"/>
        </w:rPr>
      </w:pPr>
      <w:r>
        <w:rPr>
          <w:rFonts w:hint="eastAsia" w:ascii="宋体" w:hAnsi="宋体" w:eastAsia="宋体" w:cs="Times New Roman"/>
          <w:b/>
          <w:sz w:val="32"/>
        </w:rPr>
        <w:t>招   标   人：</w:t>
      </w:r>
      <w:r>
        <w:rPr>
          <w:rFonts w:hint="eastAsia" w:ascii="宋体" w:hAnsi="宋体" w:eastAsia="宋体" w:cs="Times New Roman"/>
          <w:b/>
          <w:sz w:val="32"/>
          <w:u w:val="single"/>
        </w:rPr>
        <w:t>重庆市立信职业教育中心</w:t>
      </w:r>
      <w:r>
        <w:rPr>
          <w:rFonts w:hint="eastAsia" w:ascii="宋体" w:hAnsi="宋体" w:eastAsia="宋体" w:cs="Times New Roman"/>
          <w:b/>
          <w:sz w:val="32"/>
        </w:rPr>
        <w:t>（盖单位章）</w:t>
      </w:r>
    </w:p>
    <w:p>
      <w:pPr>
        <w:pStyle w:val="21"/>
        <w:spacing w:line="360" w:lineRule="auto"/>
        <w:ind w:left="896" w:leftChars="350" w:hanging="161" w:hangingChars="50"/>
        <w:rPr>
          <w:rFonts w:ascii="宋体" w:hAnsi="宋体" w:eastAsia="宋体" w:cs="Times New Roman"/>
          <w:b/>
          <w:sz w:val="32"/>
        </w:rPr>
      </w:pPr>
    </w:p>
    <w:p>
      <w:pPr>
        <w:widowControl/>
        <w:spacing w:line="288" w:lineRule="auto"/>
        <w:jc w:val="center"/>
        <w:rPr>
          <w:rFonts w:ascii="宋体" w:hAnsi="宋体"/>
          <w:b/>
          <w:kern w:val="0"/>
          <w:position w:val="-2"/>
          <w:sz w:val="30"/>
          <w:szCs w:val="30"/>
        </w:rPr>
        <w:sectPr>
          <w:pgSz w:w="11907" w:h="16839"/>
          <w:pgMar w:top="1480" w:right="992" w:bottom="992" w:left="1247" w:header="720" w:footer="720" w:gutter="0"/>
          <w:pgNumType w:fmt="numberInDash" w:start="0"/>
          <w:cols w:space="720" w:num="1"/>
          <w:docGrid w:type="lines" w:linePitch="312" w:charSpace="0"/>
        </w:sectPr>
      </w:pPr>
      <w:r>
        <w:rPr>
          <w:rFonts w:ascii="宋体" w:hAnsi="宋体"/>
          <w:b/>
          <w:sz w:val="30"/>
          <w:szCs w:val="30"/>
        </w:rPr>
        <w:t>202</w:t>
      </w:r>
      <w:r>
        <w:rPr>
          <w:rFonts w:hint="eastAsia" w:ascii="宋体" w:hAnsi="宋体"/>
          <w:b/>
          <w:sz w:val="30"/>
          <w:szCs w:val="30"/>
          <w:lang w:val="en-US" w:eastAsia="zh-CN"/>
        </w:rPr>
        <w:t>2</w:t>
      </w:r>
      <w:r>
        <w:rPr>
          <w:rFonts w:ascii="宋体" w:hAnsi="宋体"/>
          <w:b/>
          <w:sz w:val="30"/>
          <w:szCs w:val="30"/>
        </w:rPr>
        <w:t>年</w:t>
      </w:r>
      <w:r>
        <w:rPr>
          <w:rFonts w:hint="eastAsia" w:ascii="宋体" w:hAnsi="宋体"/>
          <w:b/>
          <w:sz w:val="30"/>
          <w:szCs w:val="30"/>
          <w:lang w:val="en-US" w:eastAsia="zh-CN"/>
        </w:rPr>
        <w:t>1</w:t>
      </w:r>
      <w:r>
        <w:rPr>
          <w:rFonts w:ascii="宋体" w:hAnsi="宋体"/>
          <w:b/>
          <w:sz w:val="30"/>
          <w:szCs w:val="30"/>
        </w:rPr>
        <w:t>月</w:t>
      </w:r>
    </w:p>
    <w:p>
      <w:pPr>
        <w:autoSpaceDE w:val="0"/>
        <w:autoSpaceDN w:val="0"/>
        <w:adjustRightInd w:val="0"/>
        <w:snapToGrid w:val="0"/>
        <w:spacing w:line="288" w:lineRule="auto"/>
        <w:jc w:val="center"/>
        <w:rPr>
          <w:rFonts w:ascii="宋体" w:hAnsi="宋体"/>
          <w:b/>
          <w:kern w:val="0"/>
          <w:sz w:val="36"/>
          <w:szCs w:val="36"/>
        </w:rPr>
      </w:pPr>
      <w:r>
        <w:rPr>
          <w:rFonts w:hint="eastAsia" w:ascii="宋体" w:hAnsi="宋体"/>
          <w:b/>
          <w:kern w:val="0"/>
          <w:sz w:val="36"/>
          <w:szCs w:val="36"/>
        </w:rPr>
        <w:t>目　　录</w:t>
      </w:r>
    </w:p>
    <w:p>
      <w:pPr>
        <w:pStyle w:val="36"/>
        <w:tabs>
          <w:tab w:val="left" w:pos="1260"/>
          <w:tab w:val="right" w:leader="dot" w:pos="9402"/>
        </w:tabs>
        <w:rPr>
          <w:rFonts w:ascii="宋体" w:hAnsi="宋体" w:eastAsia="宋体" w:cstheme="minorBidi"/>
          <w:b w:val="0"/>
          <w:bCs w:val="0"/>
          <w:caps w:val="0"/>
          <w:sz w:val="21"/>
          <w:szCs w:val="22"/>
        </w:rPr>
      </w:pPr>
      <w:r>
        <w:rPr>
          <w:rFonts w:ascii="宋体" w:hAnsi="宋体" w:eastAsia="宋体"/>
          <w:b w:val="0"/>
          <w:bCs w:val="0"/>
          <w:caps w:val="0"/>
          <w:smallCaps/>
          <w:sz w:val="24"/>
          <w:szCs w:val="24"/>
        </w:rPr>
        <w:fldChar w:fldCharType="begin"/>
      </w:r>
      <w:r>
        <w:rPr>
          <w:rFonts w:ascii="宋体" w:hAnsi="宋体" w:eastAsia="宋体"/>
          <w:b w:val="0"/>
          <w:bCs w:val="0"/>
          <w:caps w:val="0"/>
          <w:smallCaps/>
          <w:sz w:val="24"/>
          <w:szCs w:val="24"/>
        </w:rPr>
        <w:instrText xml:space="preserve"> TOC \o "1-2" \h \z \u </w:instrText>
      </w:r>
      <w:r>
        <w:rPr>
          <w:rFonts w:ascii="宋体" w:hAnsi="宋体" w:eastAsia="宋体"/>
          <w:b w:val="0"/>
          <w:bCs w:val="0"/>
          <w:caps w:val="0"/>
          <w:smallCaps/>
          <w:sz w:val="24"/>
          <w:szCs w:val="24"/>
        </w:rPr>
        <w:fldChar w:fldCharType="separate"/>
      </w:r>
      <w:r>
        <w:fldChar w:fldCharType="begin"/>
      </w:r>
      <w:r>
        <w:instrText xml:space="preserve"> HYPERLINK \l "_Toc73546933" </w:instrText>
      </w:r>
      <w:r>
        <w:fldChar w:fldCharType="separate"/>
      </w:r>
      <w:r>
        <w:rPr>
          <w:rStyle w:val="60"/>
          <w:rFonts w:hint="eastAsia" w:ascii="宋体" w:hAnsi="宋体" w:eastAsia="宋体"/>
          <w:color w:val="auto"/>
          <w:kern w:val="0"/>
        </w:rPr>
        <w:t>第一章</w:t>
      </w:r>
      <w:r>
        <w:rPr>
          <w:rFonts w:ascii="宋体" w:hAnsi="宋体" w:eastAsia="宋体" w:cstheme="minorBidi"/>
          <w:b w:val="0"/>
          <w:bCs w:val="0"/>
          <w:caps w:val="0"/>
          <w:sz w:val="21"/>
          <w:szCs w:val="22"/>
        </w:rPr>
        <w:tab/>
      </w:r>
      <w:r>
        <w:rPr>
          <w:rStyle w:val="60"/>
          <w:rFonts w:hint="eastAsia" w:ascii="宋体" w:hAnsi="宋体" w:eastAsia="宋体"/>
          <w:color w:val="auto"/>
          <w:kern w:val="0"/>
        </w:rPr>
        <w:t>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_Toc73546933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"_Toc73546934" </w:instrText>
      </w:r>
      <w:r>
        <w:fldChar w:fldCharType="separate"/>
      </w:r>
      <w:r>
        <w:rPr>
          <w:rStyle w:val="60"/>
          <w:rFonts w:ascii="宋体" w:hAnsi="宋体" w:eastAsia="宋体"/>
          <w:snapToGrid w:val="0"/>
          <w:color w:val="auto"/>
        </w:rPr>
        <w:t>1</w:t>
      </w:r>
      <w:r>
        <w:rPr>
          <w:rStyle w:val="60"/>
          <w:rFonts w:hint="eastAsia" w:ascii="宋体" w:hAnsi="宋体" w:eastAsia="宋体"/>
          <w:snapToGrid w:val="0"/>
          <w:color w:val="auto"/>
        </w:rPr>
        <w:t>．招标条件</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_Toc73546934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"_Toc73546935" </w:instrText>
      </w:r>
      <w:r>
        <w:fldChar w:fldCharType="separate"/>
      </w:r>
      <w:r>
        <w:rPr>
          <w:rStyle w:val="60"/>
          <w:rFonts w:ascii="宋体" w:hAnsi="宋体" w:eastAsia="宋体"/>
          <w:snapToGrid w:val="0"/>
          <w:color w:val="auto"/>
        </w:rPr>
        <w:t>2</w:t>
      </w:r>
      <w:r>
        <w:rPr>
          <w:rStyle w:val="60"/>
          <w:rFonts w:hint="eastAsia" w:ascii="宋体" w:hAnsi="宋体" w:eastAsia="宋体"/>
          <w:snapToGrid w:val="0"/>
          <w:color w:val="auto"/>
        </w:rPr>
        <w:t>．项目概况与招标范围</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_Toc73546935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"_Toc73546936" </w:instrText>
      </w:r>
      <w:r>
        <w:fldChar w:fldCharType="separate"/>
      </w:r>
      <w:r>
        <w:rPr>
          <w:rStyle w:val="60"/>
          <w:rFonts w:ascii="宋体" w:hAnsi="宋体" w:eastAsia="宋体"/>
          <w:snapToGrid w:val="0"/>
          <w:color w:val="auto"/>
        </w:rPr>
        <w:t>3</w:t>
      </w:r>
      <w:r>
        <w:rPr>
          <w:rStyle w:val="60"/>
          <w:rFonts w:hint="eastAsia" w:ascii="宋体" w:hAnsi="宋体" w:eastAsia="宋体"/>
          <w:snapToGrid w:val="0"/>
          <w:color w:val="auto"/>
        </w:rPr>
        <w:t>．投标人资格要求</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_Toc73546936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"_Toc73546937" </w:instrText>
      </w:r>
      <w:r>
        <w:fldChar w:fldCharType="separate"/>
      </w:r>
      <w:r>
        <w:rPr>
          <w:rStyle w:val="60"/>
          <w:rFonts w:ascii="宋体" w:hAnsi="宋体" w:eastAsia="宋体"/>
          <w:snapToGrid w:val="0"/>
          <w:color w:val="auto"/>
        </w:rPr>
        <w:t>4</w:t>
      </w:r>
      <w:r>
        <w:rPr>
          <w:rStyle w:val="60"/>
          <w:rFonts w:hint="eastAsia" w:ascii="宋体" w:hAnsi="宋体" w:eastAsia="宋体"/>
          <w:snapToGrid w:val="0"/>
          <w:color w:val="auto"/>
        </w:rPr>
        <w:t>．招标文件的获取</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_Toc73546937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"_Toc73546938" </w:instrText>
      </w:r>
      <w:r>
        <w:fldChar w:fldCharType="separate"/>
      </w:r>
      <w:r>
        <w:rPr>
          <w:rStyle w:val="60"/>
          <w:rFonts w:ascii="宋体" w:hAnsi="宋体" w:eastAsia="宋体"/>
          <w:snapToGrid w:val="0"/>
          <w:color w:val="auto"/>
        </w:rPr>
        <w:t>5</w:t>
      </w:r>
      <w:r>
        <w:rPr>
          <w:rStyle w:val="60"/>
          <w:rFonts w:hint="eastAsia" w:ascii="宋体" w:hAnsi="宋体" w:eastAsia="宋体"/>
          <w:snapToGrid w:val="0"/>
          <w:color w:val="auto"/>
        </w:rPr>
        <w:t>．投标文件的递交</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_Toc73546938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"_Toc73546939" </w:instrText>
      </w:r>
      <w:r>
        <w:fldChar w:fldCharType="separate"/>
      </w:r>
      <w:r>
        <w:rPr>
          <w:rStyle w:val="60"/>
          <w:rFonts w:ascii="宋体" w:hAnsi="宋体" w:eastAsia="宋体"/>
          <w:snapToGrid w:val="0"/>
          <w:color w:val="auto"/>
        </w:rPr>
        <w:t>6</w:t>
      </w:r>
      <w:r>
        <w:rPr>
          <w:rStyle w:val="60"/>
          <w:rFonts w:hint="eastAsia" w:ascii="宋体" w:hAnsi="宋体" w:eastAsia="宋体"/>
          <w:snapToGrid w:val="0"/>
          <w:color w:val="auto"/>
        </w:rPr>
        <w:t>、发布公告的媒介</w:t>
      </w:r>
      <w:r>
        <w:rPr>
          <w:rFonts w:ascii="宋体" w:hAnsi="宋体" w:eastAsia="宋体"/>
        </w:rPr>
        <w:tab/>
      </w:r>
      <w:r>
        <w:rPr>
          <w:rFonts w:ascii="宋体" w:hAnsi="宋体" w:eastAsia="宋体"/>
        </w:rPr>
        <w:fldChar w:fldCharType="begin"/>
      </w:r>
      <w:r>
        <w:rPr>
          <w:rFonts w:ascii="宋体" w:hAnsi="宋体" w:eastAsia="宋体"/>
        </w:rPr>
        <w:instrText xml:space="preserve"> PAGEREF _Toc73546939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"_Toc73546940" </w:instrText>
      </w:r>
      <w:r>
        <w:fldChar w:fldCharType="separate"/>
      </w:r>
      <w:r>
        <w:rPr>
          <w:rStyle w:val="60"/>
          <w:rFonts w:ascii="宋体" w:hAnsi="宋体" w:eastAsia="宋体"/>
          <w:snapToGrid w:val="0"/>
          <w:color w:val="auto"/>
        </w:rPr>
        <w:t>7</w:t>
      </w:r>
      <w:r>
        <w:rPr>
          <w:rStyle w:val="60"/>
          <w:rFonts w:hint="eastAsia" w:ascii="宋体" w:hAnsi="宋体" w:eastAsia="宋体"/>
          <w:snapToGrid w:val="0"/>
          <w:color w:val="auto"/>
        </w:rPr>
        <w:t>．联系方式</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_Toc73546940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36"/>
        <w:tabs>
          <w:tab w:val="right" w:leader="dot" w:pos="9402"/>
        </w:tabs>
        <w:rPr>
          <w:rFonts w:ascii="宋体" w:hAnsi="宋体" w:eastAsia="宋体" w:cstheme="minorBidi"/>
          <w:b w:val="0"/>
          <w:bCs w:val="0"/>
          <w:caps w:val="0"/>
          <w:sz w:val="21"/>
          <w:szCs w:val="22"/>
        </w:rPr>
      </w:pPr>
      <w:r>
        <w:fldChar w:fldCharType="begin"/>
      </w:r>
      <w:r>
        <w:instrText xml:space="preserve"> HYPERLINK \l "_Toc73546941" </w:instrText>
      </w:r>
      <w:r>
        <w:fldChar w:fldCharType="separate"/>
      </w:r>
      <w:r>
        <w:rPr>
          <w:rStyle w:val="60"/>
          <w:rFonts w:hint="eastAsia" w:ascii="宋体" w:hAnsi="宋体" w:eastAsia="宋体"/>
          <w:color w:val="auto"/>
          <w:kern w:val="0"/>
        </w:rPr>
        <w:t>第二章</w:t>
      </w:r>
      <w:r>
        <w:rPr>
          <w:rStyle w:val="60"/>
          <w:rFonts w:ascii="宋体" w:hAnsi="宋体" w:eastAsia="宋体"/>
          <w:color w:val="auto"/>
          <w:kern w:val="0"/>
        </w:rPr>
        <w:t xml:space="preserve"> </w:t>
      </w:r>
      <w:r>
        <w:rPr>
          <w:rStyle w:val="60"/>
          <w:rFonts w:hint="eastAsia" w:ascii="宋体" w:hAnsi="宋体" w:eastAsia="宋体"/>
          <w:color w:val="auto"/>
          <w:kern w:val="0"/>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_Toc73546941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"_Toc73546942" </w:instrText>
      </w:r>
      <w:r>
        <w:fldChar w:fldCharType="separate"/>
      </w:r>
      <w:r>
        <w:rPr>
          <w:rStyle w:val="60"/>
          <w:rFonts w:hint="eastAsia" w:ascii="宋体" w:hAnsi="宋体" w:eastAsia="宋体"/>
          <w:color w:val="auto"/>
        </w:rPr>
        <w:t>投标人须知前附表</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_Toc73546942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36"/>
        <w:tabs>
          <w:tab w:val="right" w:leader="dot" w:pos="9402"/>
        </w:tabs>
        <w:rPr>
          <w:rFonts w:ascii="宋体" w:hAnsi="宋体" w:eastAsia="宋体" w:cstheme="minorBidi"/>
          <w:b w:val="0"/>
          <w:bCs w:val="0"/>
          <w:caps w:val="0"/>
          <w:sz w:val="21"/>
          <w:szCs w:val="22"/>
        </w:rPr>
      </w:pPr>
      <w:r>
        <w:fldChar w:fldCharType="begin"/>
      </w:r>
      <w:r>
        <w:instrText xml:space="preserve"> HYPERLINK \l "_Toc73546946" </w:instrText>
      </w:r>
      <w:r>
        <w:fldChar w:fldCharType="separate"/>
      </w:r>
      <w:r>
        <w:rPr>
          <w:rStyle w:val="60"/>
          <w:rFonts w:hint="eastAsia" w:ascii="宋体" w:hAnsi="宋体" w:eastAsia="宋体"/>
          <w:color w:val="auto"/>
        </w:rPr>
        <w:t>第三章 评标办法</w:t>
      </w:r>
      <w:r>
        <w:rPr>
          <w:rStyle w:val="60"/>
          <w:rFonts w:ascii="宋体" w:hAnsi="宋体" w:eastAsia="宋体"/>
          <w:color w:val="auto"/>
        </w:rPr>
        <w:t>(</w:t>
      </w:r>
      <w:r>
        <w:rPr>
          <w:rStyle w:val="60"/>
          <w:rFonts w:hint="eastAsia" w:ascii="宋体" w:hAnsi="宋体" w:eastAsia="宋体"/>
          <w:color w:val="auto"/>
        </w:rPr>
        <w:t>综合评估法</w:t>
      </w:r>
      <w:r>
        <w:rPr>
          <w:rStyle w:val="60"/>
          <w:rFonts w:ascii="宋体" w:hAnsi="宋体" w:eastAsia="宋体"/>
          <w:color w:val="auto"/>
        </w:rPr>
        <w:t>)</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_Toc73546946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"_Toc73546947" </w:instrText>
      </w:r>
      <w:r>
        <w:fldChar w:fldCharType="separate"/>
      </w:r>
      <w:r>
        <w:rPr>
          <w:rStyle w:val="60"/>
          <w:rFonts w:ascii="宋体" w:hAnsi="宋体" w:eastAsia="宋体"/>
          <w:color w:val="auto"/>
        </w:rPr>
        <w:t>1</w:t>
      </w:r>
      <w:r>
        <w:rPr>
          <w:rStyle w:val="60"/>
          <w:rFonts w:hint="eastAsia" w:ascii="宋体" w:hAnsi="宋体" w:eastAsia="宋体"/>
          <w:color w:val="auto"/>
        </w:rPr>
        <w:t>、评标方法</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_Toc73546947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"_Toc73546948" </w:instrText>
      </w:r>
      <w:r>
        <w:fldChar w:fldCharType="separate"/>
      </w:r>
      <w:r>
        <w:rPr>
          <w:rStyle w:val="60"/>
          <w:rFonts w:ascii="宋体" w:hAnsi="宋体" w:eastAsia="宋体"/>
          <w:color w:val="auto"/>
        </w:rPr>
        <w:t xml:space="preserve">2.  </w:t>
      </w:r>
      <w:r>
        <w:rPr>
          <w:rStyle w:val="60"/>
          <w:rFonts w:hint="eastAsia" w:ascii="宋体" w:hAnsi="宋体" w:eastAsia="宋体"/>
          <w:color w:val="auto"/>
        </w:rPr>
        <w:t>评审标准</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_Toc73546948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42"/>
        <w:rPr>
          <w:rFonts w:ascii="宋体" w:hAnsi="宋体" w:eastAsia="宋体" w:cstheme="minorBidi"/>
          <w:smallCaps w:val="0"/>
          <w:szCs w:val="22"/>
        </w:rPr>
      </w:pPr>
      <w:r>
        <w:fldChar w:fldCharType="begin"/>
      </w:r>
      <w:r>
        <w:instrText xml:space="preserve"> HYPERLINK \l "_Toc73546949" </w:instrText>
      </w:r>
      <w:r>
        <w:fldChar w:fldCharType="separate"/>
      </w:r>
      <w:r>
        <w:rPr>
          <w:rStyle w:val="60"/>
          <w:rFonts w:ascii="宋体" w:hAnsi="宋体" w:eastAsia="宋体"/>
          <w:color w:val="auto"/>
        </w:rPr>
        <w:t xml:space="preserve">3.  </w:t>
      </w:r>
      <w:r>
        <w:rPr>
          <w:rStyle w:val="60"/>
          <w:rFonts w:hint="eastAsia" w:ascii="宋体" w:hAnsi="宋体" w:eastAsia="宋体"/>
          <w:color w:val="auto"/>
        </w:rPr>
        <w:t>评标程序</w:t>
      </w:r>
      <w:r>
        <w:rPr>
          <w:rFonts w:ascii="宋体" w:hAnsi="宋体" w:eastAsia="宋体"/>
        </w:rPr>
        <w:tab/>
      </w:r>
      <w:r>
        <w:rPr>
          <w:rFonts w:ascii="宋体" w:hAnsi="宋体" w:eastAsia="宋体"/>
        </w:rPr>
        <w:fldChar w:fldCharType="begin"/>
      </w:r>
      <w:r>
        <w:rPr>
          <w:rFonts w:ascii="宋体" w:hAnsi="宋体" w:eastAsia="宋体"/>
        </w:rPr>
        <w:instrText xml:space="preserve"> PAGEREF _Toc73546949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36"/>
        <w:tabs>
          <w:tab w:val="right" w:leader="dot" w:pos="9402"/>
        </w:tabs>
        <w:rPr>
          <w:rFonts w:ascii="宋体" w:hAnsi="宋体" w:eastAsia="宋体" w:cstheme="minorBidi"/>
          <w:b w:val="0"/>
          <w:bCs w:val="0"/>
          <w:caps w:val="0"/>
          <w:sz w:val="21"/>
          <w:szCs w:val="22"/>
        </w:rPr>
      </w:pPr>
      <w:r>
        <w:fldChar w:fldCharType="begin"/>
      </w:r>
      <w:r>
        <w:instrText xml:space="preserve"> HYPERLINK \l "_Toc73546950" </w:instrText>
      </w:r>
      <w:r>
        <w:fldChar w:fldCharType="separate"/>
      </w:r>
      <w:r>
        <w:rPr>
          <w:rStyle w:val="60"/>
          <w:rFonts w:hint="eastAsia" w:ascii="宋体" w:hAnsi="宋体" w:eastAsia="宋体"/>
          <w:color w:val="auto"/>
        </w:rPr>
        <w:t xml:space="preserve">第四章 </w:t>
      </w:r>
      <w:r>
        <w:rPr>
          <w:rStyle w:val="60"/>
          <w:rFonts w:ascii="宋体" w:hAnsi="宋体" w:eastAsia="宋体"/>
          <w:color w:val="auto"/>
        </w:rPr>
        <w:t xml:space="preserve"> </w:t>
      </w:r>
      <w:r>
        <w:rPr>
          <w:rStyle w:val="60"/>
          <w:rFonts w:hint="eastAsia" w:ascii="宋体" w:hAnsi="宋体" w:eastAsia="宋体"/>
          <w:color w:val="auto"/>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_Toc73546950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36"/>
        <w:tabs>
          <w:tab w:val="right" w:leader="dot" w:pos="9402"/>
        </w:tabs>
        <w:rPr>
          <w:rFonts w:ascii="宋体" w:hAnsi="宋体" w:eastAsia="宋体" w:cstheme="minorBidi"/>
          <w:b w:val="0"/>
          <w:bCs w:val="0"/>
          <w:caps w:val="0"/>
          <w:sz w:val="21"/>
          <w:szCs w:val="22"/>
        </w:rPr>
      </w:pPr>
      <w:r>
        <w:fldChar w:fldCharType="begin"/>
      </w:r>
      <w:r>
        <w:instrText xml:space="preserve"> HYPERLINK \l "_Toc73546951" </w:instrText>
      </w:r>
      <w:r>
        <w:fldChar w:fldCharType="separate"/>
      </w:r>
      <w:r>
        <w:rPr>
          <w:rStyle w:val="60"/>
          <w:rFonts w:hint="eastAsia" w:ascii="宋体" w:hAnsi="宋体" w:eastAsia="宋体"/>
          <w:color w:val="auto"/>
          <w:kern w:val="0"/>
        </w:rPr>
        <w:t>第五章</w:t>
      </w:r>
      <w:r>
        <w:rPr>
          <w:rStyle w:val="60"/>
          <w:rFonts w:ascii="宋体" w:hAnsi="宋体" w:eastAsia="宋体"/>
          <w:color w:val="auto"/>
          <w:kern w:val="0"/>
        </w:rPr>
        <w:t xml:space="preserve">  </w:t>
      </w:r>
      <w:r>
        <w:rPr>
          <w:rStyle w:val="60"/>
          <w:rFonts w:hint="eastAsia" w:ascii="宋体" w:hAnsi="宋体" w:eastAsia="宋体"/>
          <w:color w:val="auto"/>
        </w:rPr>
        <w:t>项目技术、服务要求</w:t>
      </w:r>
      <w:r>
        <w:rPr>
          <w:rFonts w:ascii="宋体" w:hAnsi="宋体" w:eastAsia="宋体"/>
        </w:rPr>
        <w:tab/>
      </w:r>
      <w:r>
        <w:rPr>
          <w:rFonts w:ascii="宋体" w:hAnsi="宋体" w:eastAsia="宋体"/>
        </w:rPr>
        <w:fldChar w:fldCharType="begin"/>
      </w:r>
      <w:r>
        <w:rPr>
          <w:rFonts w:ascii="宋体" w:hAnsi="宋体" w:eastAsia="宋体"/>
        </w:rPr>
        <w:instrText xml:space="preserve"> PAGEREF _Toc73546951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36"/>
        <w:tabs>
          <w:tab w:val="right" w:leader="dot" w:pos="9402"/>
        </w:tabs>
        <w:rPr>
          <w:rFonts w:ascii="宋体" w:hAnsi="宋体" w:eastAsia="宋体" w:cstheme="minorBidi"/>
          <w:b w:val="0"/>
          <w:bCs w:val="0"/>
          <w:caps w:val="0"/>
          <w:sz w:val="21"/>
          <w:szCs w:val="22"/>
        </w:rPr>
      </w:pPr>
      <w:r>
        <w:fldChar w:fldCharType="begin"/>
      </w:r>
      <w:r>
        <w:instrText xml:space="preserve"> HYPERLINK \l "_Toc73546958" </w:instrText>
      </w:r>
      <w:r>
        <w:fldChar w:fldCharType="separate"/>
      </w:r>
      <w:r>
        <w:rPr>
          <w:rStyle w:val="60"/>
          <w:rFonts w:hint="eastAsia" w:ascii="宋体" w:hAnsi="宋体" w:eastAsia="宋体"/>
          <w:color w:val="auto"/>
          <w:kern w:val="0"/>
        </w:rPr>
        <w:t>第六章</w:t>
      </w:r>
      <w:r>
        <w:rPr>
          <w:rStyle w:val="60"/>
          <w:rFonts w:ascii="宋体" w:hAnsi="宋体" w:eastAsia="宋体"/>
          <w:color w:val="auto"/>
          <w:kern w:val="0"/>
        </w:rPr>
        <w:t xml:space="preserve">  </w:t>
      </w:r>
      <w:r>
        <w:rPr>
          <w:rStyle w:val="60"/>
          <w:rFonts w:hint="eastAsia" w:ascii="宋体" w:hAnsi="宋体" w:eastAsia="宋体"/>
          <w:color w:val="auto"/>
          <w:kern w:val="0"/>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_Toc73546958 \h </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ascii="宋体" w:hAnsi="宋体" w:eastAsia="宋体"/>
        </w:rPr>
        <w:fldChar w:fldCharType="end"/>
      </w:r>
    </w:p>
    <w:p>
      <w:pPr>
        <w:pStyle w:val="42"/>
        <w:spacing w:line="360" w:lineRule="auto"/>
        <w:ind w:left="0"/>
        <w:jc w:val="both"/>
        <w:rPr>
          <w:rFonts w:ascii="宋体" w:hAnsi="宋体" w:eastAsia="宋体"/>
          <w:b/>
          <w:bCs/>
          <w:caps/>
          <w:smallCaps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247" w:bottom="1089" w:left="1247" w:header="851" w:footer="992" w:gutter="0"/>
          <w:pgNumType w:fmt="upperRoman"/>
          <w:cols w:space="720" w:num="1"/>
          <w:titlePg/>
          <w:docGrid w:type="lines" w:linePitch="312" w:charSpace="0"/>
        </w:sectPr>
      </w:pPr>
      <w:r>
        <w:rPr>
          <w:rFonts w:ascii="宋体" w:hAnsi="宋体" w:eastAsia="宋体"/>
          <w:b/>
          <w:bCs/>
          <w:caps/>
          <w:smallCaps w:val="0"/>
          <w:sz w:val="24"/>
          <w:szCs w:val="24"/>
        </w:rPr>
        <w:fldChar w:fldCharType="end"/>
      </w:r>
    </w:p>
    <w:p>
      <w:pPr>
        <w:pStyle w:val="3"/>
        <w:numPr>
          <w:ilvl w:val="0"/>
          <w:numId w:val="7"/>
        </w:numPr>
        <w:spacing w:line="288" w:lineRule="auto"/>
        <w:rPr>
          <w:rFonts w:ascii="宋体" w:hAnsi="宋体"/>
          <w:kern w:val="0"/>
        </w:rPr>
      </w:pPr>
      <w:bookmarkStart w:id="1" w:name="_Toc73546933"/>
      <w:r>
        <w:rPr>
          <w:rFonts w:hint="eastAsia" w:ascii="宋体" w:hAnsi="宋体"/>
          <w:kern w:val="0"/>
        </w:rPr>
        <w:t>招标公告</w:t>
      </w:r>
      <w:bookmarkEnd w:id="1"/>
    </w:p>
    <w:p>
      <w:pPr>
        <w:jc w:val="center"/>
        <w:rPr>
          <w:rFonts w:ascii="宋体" w:hAnsi="宋体"/>
          <w:b/>
          <w:snapToGrid w:val="0"/>
          <w:sz w:val="24"/>
          <w:szCs w:val="28"/>
        </w:rPr>
      </w:pPr>
      <w:bookmarkStart w:id="2" w:name="OLE_LINK2"/>
      <w:r>
        <w:rPr>
          <w:rFonts w:hint="eastAsia" w:ascii="宋体" w:hAnsi="宋体"/>
          <w:b/>
          <w:snapToGrid w:val="0"/>
          <w:sz w:val="24"/>
          <w:szCs w:val="28"/>
        </w:rPr>
        <w:t>重庆市立信职业教育中心2022年出版教材供应服务采购</w:t>
      </w:r>
    </w:p>
    <w:p>
      <w:pPr>
        <w:jc w:val="center"/>
        <w:rPr>
          <w:rFonts w:ascii="宋体" w:hAnsi="宋体"/>
          <w:b/>
          <w:snapToGrid w:val="0"/>
          <w:sz w:val="24"/>
          <w:szCs w:val="28"/>
        </w:rPr>
      </w:pPr>
      <w:r>
        <w:rPr>
          <w:rFonts w:hint="eastAsia" w:ascii="宋体" w:hAnsi="宋体"/>
          <w:b/>
          <w:snapToGrid w:val="0"/>
          <w:sz w:val="24"/>
          <w:szCs w:val="28"/>
        </w:rPr>
        <w:t>招标公告</w:t>
      </w:r>
    </w:p>
    <w:p>
      <w:pPr>
        <w:pStyle w:val="4"/>
        <w:spacing w:line="460" w:lineRule="exact"/>
        <w:rPr>
          <w:rFonts w:ascii="宋体" w:eastAsia="宋体" w:cs="Times New Roman"/>
          <w:snapToGrid w:val="0"/>
          <w:sz w:val="24"/>
          <w:szCs w:val="24"/>
        </w:rPr>
      </w:pPr>
      <w:bookmarkStart w:id="3" w:name="_Toc437009331"/>
      <w:bookmarkStart w:id="4" w:name="_Toc73546934"/>
      <w:bookmarkStart w:id="5" w:name="_Toc463772157"/>
      <w:r>
        <w:rPr>
          <w:rFonts w:hint="eastAsia" w:ascii="宋体" w:eastAsia="宋体" w:cs="Times New Roman"/>
          <w:snapToGrid w:val="0"/>
          <w:sz w:val="24"/>
          <w:szCs w:val="24"/>
        </w:rPr>
        <w:t>1．招标条件</w:t>
      </w:r>
      <w:bookmarkEnd w:id="3"/>
      <w:bookmarkEnd w:id="4"/>
      <w:bookmarkEnd w:id="5"/>
    </w:p>
    <w:p>
      <w:pPr>
        <w:spacing w:line="460" w:lineRule="exact"/>
        <w:ind w:firstLine="315" w:firstLineChars="150"/>
        <w:jc w:val="left"/>
        <w:rPr>
          <w:rFonts w:ascii="宋体" w:hAnsi="宋体"/>
          <w:snapToGrid w:val="0"/>
          <w:kern w:val="0"/>
          <w:u w:val="single"/>
        </w:rPr>
      </w:pPr>
      <w:r>
        <w:rPr>
          <w:rFonts w:hint="eastAsia" w:ascii="宋体" w:hAnsi="宋体"/>
          <w:snapToGrid w:val="0"/>
          <w:kern w:val="0"/>
        </w:rPr>
        <w:t>本招标项</w:t>
      </w:r>
      <w:r>
        <w:rPr>
          <w:rFonts w:hint="eastAsia" w:ascii="宋体" w:hAnsi="宋体"/>
          <w:szCs w:val="21"/>
        </w:rPr>
        <w:t>目为</w:t>
      </w:r>
      <w:r>
        <w:rPr>
          <w:rFonts w:hint="eastAsia" w:ascii="宋体" w:hAnsi="宋体"/>
          <w:b/>
          <w:szCs w:val="21"/>
          <w:u w:val="single"/>
        </w:rPr>
        <w:t>重庆市立信职业教育中心2022年出版教材供应服务采购</w:t>
      </w:r>
      <w:r>
        <w:rPr>
          <w:rFonts w:hint="eastAsia" w:ascii="宋体" w:hAnsi="宋体"/>
          <w:szCs w:val="21"/>
        </w:rPr>
        <w:t>，招标人为</w:t>
      </w:r>
      <w:r>
        <w:rPr>
          <w:rFonts w:hint="eastAsia" w:ascii="宋体" w:hAnsi="宋体"/>
          <w:b/>
          <w:szCs w:val="21"/>
          <w:u w:val="single"/>
        </w:rPr>
        <w:t>重庆市立信职业教育中心</w:t>
      </w:r>
      <w:r>
        <w:rPr>
          <w:rFonts w:hint="eastAsia" w:ascii="宋体" w:hAnsi="宋体"/>
          <w:szCs w:val="21"/>
        </w:rPr>
        <w:t>，建设资金</w:t>
      </w:r>
      <w:r>
        <w:rPr>
          <w:rFonts w:hint="eastAsia" w:ascii="宋体" w:hAnsi="宋体"/>
          <w:b/>
          <w:szCs w:val="21"/>
          <w:u w:val="single"/>
        </w:rPr>
        <w:t>业主自筹</w:t>
      </w:r>
      <w:r>
        <w:rPr>
          <w:rFonts w:hint="eastAsia" w:ascii="宋体" w:hAnsi="宋体"/>
          <w:szCs w:val="21"/>
        </w:rPr>
        <w:t>，项目已具备招标条件，现对本项目进行公开招标。</w:t>
      </w:r>
    </w:p>
    <w:p>
      <w:pPr>
        <w:pStyle w:val="4"/>
        <w:spacing w:line="460" w:lineRule="exact"/>
        <w:rPr>
          <w:rFonts w:ascii="宋体" w:eastAsia="宋体" w:cs="Times New Roman"/>
          <w:snapToGrid w:val="0"/>
          <w:sz w:val="24"/>
          <w:szCs w:val="24"/>
        </w:rPr>
      </w:pPr>
      <w:bookmarkStart w:id="6" w:name="_Toc463772158"/>
      <w:bookmarkStart w:id="7" w:name="_Toc73546935"/>
      <w:bookmarkStart w:id="8" w:name="_Toc437009332"/>
      <w:r>
        <w:rPr>
          <w:rFonts w:hint="eastAsia" w:ascii="宋体" w:eastAsia="宋体" w:cs="Times New Roman"/>
          <w:snapToGrid w:val="0"/>
          <w:sz w:val="24"/>
          <w:szCs w:val="24"/>
        </w:rPr>
        <w:t>2．项目概况与招标范围</w:t>
      </w:r>
      <w:bookmarkEnd w:id="6"/>
      <w:bookmarkEnd w:id="7"/>
      <w:bookmarkEnd w:id="8"/>
    </w:p>
    <w:p>
      <w:pPr>
        <w:adjustRightInd w:val="0"/>
        <w:snapToGrid w:val="0"/>
        <w:spacing w:line="460" w:lineRule="exact"/>
        <w:ind w:firstLine="420" w:firstLineChars="200"/>
        <w:rPr>
          <w:rFonts w:ascii="宋体" w:hAnsi="宋体"/>
          <w:szCs w:val="21"/>
        </w:rPr>
      </w:pPr>
      <w:r>
        <w:rPr>
          <w:rFonts w:ascii="宋体" w:hAnsi="宋体"/>
          <w:szCs w:val="21"/>
        </w:rPr>
        <w:t xml:space="preserve">2.1 </w:t>
      </w:r>
      <w:r>
        <w:rPr>
          <w:rFonts w:hint="eastAsia" w:ascii="宋体" w:hAnsi="宋体"/>
          <w:szCs w:val="21"/>
        </w:rPr>
        <w:t>招标范围</w:t>
      </w:r>
      <w:r>
        <w:rPr>
          <w:rFonts w:ascii="宋体" w:hAnsi="宋体"/>
          <w:szCs w:val="21"/>
        </w:rPr>
        <w:t>：</w:t>
      </w:r>
      <w:r>
        <w:rPr>
          <w:rFonts w:hint="eastAsia" w:ascii="宋体" w:hAnsi="宋体"/>
          <w:szCs w:val="21"/>
        </w:rPr>
        <w:t>重庆市立信职业教育中心2022年出版教材供应服务</w:t>
      </w:r>
    </w:p>
    <w:tbl>
      <w:tblPr>
        <w:tblStyle w:val="52"/>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044"/>
        <w:gridCol w:w="1225"/>
        <w:gridCol w:w="1582"/>
        <w:gridCol w:w="182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49" w:type="dxa"/>
            <w:vAlign w:val="center"/>
          </w:tcPr>
          <w:p>
            <w:pPr>
              <w:pStyle w:val="387"/>
              <w:widowControl w:val="0"/>
              <w:spacing w:line="360" w:lineRule="auto"/>
              <w:outlineLvl w:val="0"/>
              <w:rPr>
                <w:rFonts w:ascii="宋体" w:hAnsi="宋体"/>
                <w:b w:val="0"/>
                <w:szCs w:val="21"/>
              </w:rPr>
            </w:pPr>
            <w:r>
              <w:rPr>
                <w:rFonts w:hint="eastAsia" w:ascii="宋体" w:hAnsi="宋体"/>
                <w:b w:val="0"/>
                <w:szCs w:val="21"/>
              </w:rPr>
              <w:t>分包</w:t>
            </w:r>
          </w:p>
        </w:tc>
        <w:tc>
          <w:tcPr>
            <w:tcW w:w="2044" w:type="dxa"/>
            <w:vAlign w:val="center"/>
          </w:tcPr>
          <w:p>
            <w:pPr>
              <w:pStyle w:val="387"/>
              <w:spacing w:line="360" w:lineRule="auto"/>
              <w:outlineLvl w:val="0"/>
              <w:rPr>
                <w:rFonts w:ascii="宋体" w:hAnsi="宋体"/>
                <w:b w:val="0"/>
                <w:szCs w:val="21"/>
              </w:rPr>
            </w:pPr>
            <w:r>
              <w:rPr>
                <w:rFonts w:hint="eastAsia" w:ascii="宋体" w:hAnsi="宋体"/>
                <w:b w:val="0"/>
                <w:szCs w:val="21"/>
              </w:rPr>
              <w:t>项目名称</w:t>
            </w:r>
          </w:p>
        </w:tc>
        <w:tc>
          <w:tcPr>
            <w:tcW w:w="1225" w:type="dxa"/>
            <w:vAlign w:val="center"/>
          </w:tcPr>
          <w:p>
            <w:pPr>
              <w:pStyle w:val="387"/>
              <w:spacing w:line="360" w:lineRule="auto"/>
              <w:outlineLvl w:val="0"/>
              <w:rPr>
                <w:rFonts w:ascii="宋体" w:hAnsi="宋体"/>
                <w:b w:val="0"/>
                <w:szCs w:val="21"/>
              </w:rPr>
            </w:pPr>
            <w:r>
              <w:rPr>
                <w:rFonts w:hint="eastAsia" w:ascii="宋体" w:hAnsi="宋体"/>
                <w:b w:val="0"/>
                <w:szCs w:val="21"/>
              </w:rPr>
              <w:t>拟采购供货商家数</w:t>
            </w:r>
          </w:p>
        </w:tc>
        <w:tc>
          <w:tcPr>
            <w:tcW w:w="1582" w:type="dxa"/>
            <w:vAlign w:val="center"/>
          </w:tcPr>
          <w:p>
            <w:pPr>
              <w:pStyle w:val="387"/>
              <w:spacing w:line="360" w:lineRule="auto"/>
              <w:outlineLvl w:val="0"/>
              <w:rPr>
                <w:rFonts w:ascii="宋体" w:hAnsi="宋体"/>
                <w:b w:val="0"/>
                <w:szCs w:val="21"/>
              </w:rPr>
            </w:pPr>
            <w:r>
              <w:rPr>
                <w:rFonts w:hint="eastAsia" w:ascii="宋体" w:hAnsi="宋体"/>
                <w:b w:val="0"/>
                <w:szCs w:val="21"/>
              </w:rPr>
              <w:t>投标保证金</w:t>
            </w:r>
          </w:p>
          <w:p>
            <w:pPr>
              <w:pStyle w:val="387"/>
              <w:widowControl w:val="0"/>
              <w:spacing w:line="360" w:lineRule="auto"/>
              <w:outlineLvl w:val="0"/>
              <w:rPr>
                <w:rFonts w:ascii="宋体" w:hAnsi="宋体"/>
                <w:b w:val="0"/>
                <w:szCs w:val="21"/>
              </w:rPr>
            </w:pPr>
            <w:r>
              <w:rPr>
                <w:rFonts w:hint="eastAsia" w:ascii="宋体" w:hAnsi="宋体"/>
                <w:b w:val="0"/>
                <w:szCs w:val="21"/>
              </w:rPr>
              <w:t>（万元）</w:t>
            </w:r>
          </w:p>
        </w:tc>
        <w:tc>
          <w:tcPr>
            <w:tcW w:w="1824" w:type="dxa"/>
            <w:vAlign w:val="center"/>
          </w:tcPr>
          <w:p>
            <w:pPr>
              <w:pStyle w:val="22"/>
              <w:spacing w:line="360" w:lineRule="auto"/>
              <w:ind w:firstLine="0" w:firstLineChars="0"/>
              <w:jc w:val="center"/>
              <w:outlineLvl w:val="0"/>
              <w:rPr>
                <w:rFonts w:ascii="宋体" w:hAnsi="宋体" w:eastAsia="宋体"/>
                <w:color w:val="000000" w:themeColor="text1"/>
                <w:kern w:val="0"/>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折扣率最高限价</w:t>
            </w:r>
          </w:p>
        </w:tc>
        <w:tc>
          <w:tcPr>
            <w:tcW w:w="1929" w:type="dxa"/>
            <w:vAlign w:val="center"/>
          </w:tcPr>
          <w:p>
            <w:pPr>
              <w:pStyle w:val="22"/>
              <w:spacing w:line="360" w:lineRule="auto"/>
              <w:ind w:firstLineChars="0"/>
              <w:outlineLvl w:val="0"/>
              <w:rPr>
                <w:rFonts w:ascii="宋体" w:hAnsi="宋体" w:eastAsia="宋体"/>
                <w:kern w:val="0"/>
                <w:sz w:val="21"/>
                <w:szCs w:val="21"/>
              </w:rPr>
            </w:pPr>
            <w:r>
              <w:rPr>
                <w:rFonts w:hint="eastAsia" w:ascii="宋体" w:hAnsi="宋体" w:eastAsia="宋体"/>
                <w:kern w:val="0"/>
                <w:sz w:val="21"/>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49" w:type="dxa"/>
            <w:vAlign w:val="center"/>
          </w:tcPr>
          <w:p>
            <w:pPr>
              <w:pStyle w:val="387"/>
              <w:widowControl w:val="0"/>
              <w:spacing w:line="360" w:lineRule="auto"/>
              <w:outlineLvl w:val="0"/>
              <w:rPr>
                <w:rFonts w:ascii="宋体" w:hAnsi="宋体"/>
                <w:b w:val="0"/>
                <w:szCs w:val="21"/>
              </w:rPr>
            </w:pPr>
            <w:r>
              <w:rPr>
                <w:rFonts w:ascii="宋体" w:hAnsi="宋体"/>
                <w:b w:val="0"/>
                <w:szCs w:val="21"/>
              </w:rPr>
              <w:t>1</w:t>
            </w:r>
          </w:p>
        </w:tc>
        <w:tc>
          <w:tcPr>
            <w:tcW w:w="2044" w:type="dxa"/>
            <w:vAlign w:val="center"/>
          </w:tcPr>
          <w:p>
            <w:pPr>
              <w:pStyle w:val="387"/>
              <w:widowControl w:val="0"/>
              <w:spacing w:line="360" w:lineRule="auto"/>
              <w:outlineLvl w:val="0"/>
              <w:rPr>
                <w:rFonts w:ascii="宋体" w:hAnsi="宋体"/>
                <w:b w:val="0"/>
                <w:szCs w:val="21"/>
              </w:rPr>
            </w:pPr>
            <w:r>
              <w:rPr>
                <w:rFonts w:hint="eastAsia" w:ascii="宋体" w:hAnsi="宋体"/>
                <w:b w:val="0"/>
                <w:bCs/>
                <w:szCs w:val="21"/>
              </w:rPr>
              <w:t>重庆市立信职业教育中心2022年出版教材供应服务采购</w:t>
            </w:r>
          </w:p>
        </w:tc>
        <w:tc>
          <w:tcPr>
            <w:tcW w:w="1225" w:type="dxa"/>
            <w:vAlign w:val="center"/>
          </w:tcPr>
          <w:p>
            <w:pPr>
              <w:pStyle w:val="387"/>
              <w:widowControl w:val="0"/>
              <w:spacing w:line="360" w:lineRule="auto"/>
              <w:outlineLvl w:val="0"/>
              <w:rPr>
                <w:rFonts w:ascii="宋体" w:hAnsi="宋体"/>
                <w:b w:val="0"/>
                <w:szCs w:val="21"/>
              </w:rPr>
            </w:pPr>
            <w:r>
              <w:rPr>
                <w:rFonts w:ascii="宋体" w:hAnsi="宋体"/>
                <w:b w:val="0"/>
                <w:szCs w:val="21"/>
              </w:rPr>
              <w:t>1</w:t>
            </w:r>
          </w:p>
        </w:tc>
        <w:tc>
          <w:tcPr>
            <w:tcW w:w="1582" w:type="dxa"/>
            <w:vAlign w:val="center"/>
          </w:tcPr>
          <w:p>
            <w:pPr>
              <w:pStyle w:val="387"/>
              <w:widowControl w:val="0"/>
              <w:spacing w:line="360" w:lineRule="auto"/>
              <w:outlineLvl w:val="0"/>
              <w:rPr>
                <w:rFonts w:ascii="宋体" w:hAnsi="宋体"/>
                <w:b w:val="0"/>
                <w:szCs w:val="21"/>
              </w:rPr>
            </w:pPr>
            <w:r>
              <w:rPr>
                <w:rFonts w:ascii="宋体" w:hAnsi="宋体"/>
                <w:b w:val="0"/>
                <w:szCs w:val="21"/>
              </w:rPr>
              <w:t>2</w:t>
            </w:r>
          </w:p>
        </w:tc>
        <w:tc>
          <w:tcPr>
            <w:tcW w:w="1824" w:type="dxa"/>
            <w:vAlign w:val="center"/>
          </w:tcPr>
          <w:p>
            <w:pPr>
              <w:pStyle w:val="387"/>
              <w:widowControl w:val="0"/>
              <w:spacing w:line="360" w:lineRule="auto"/>
              <w:outlineLvl w:val="0"/>
              <w:rPr>
                <w:rFonts w:hint="eastAsia" w:ascii="宋体" w:hAnsi="宋体"/>
                <w:b w:val="0"/>
                <w:color w:val="000000" w:themeColor="text1"/>
                <w:kern w:val="2"/>
                <w:szCs w:val="21"/>
                <w14:textFill>
                  <w14:solidFill>
                    <w14:schemeClr w14:val="tx1"/>
                  </w14:solidFill>
                </w14:textFill>
              </w:rPr>
            </w:pPr>
            <w:r>
              <w:rPr>
                <w:rFonts w:ascii="宋体" w:hAnsi="宋体"/>
                <w:b w:val="0"/>
                <w:color w:val="000000" w:themeColor="text1"/>
                <w:kern w:val="2"/>
                <w:szCs w:val="21"/>
                <w14:textFill>
                  <w14:solidFill>
                    <w14:schemeClr w14:val="tx1"/>
                  </w14:solidFill>
                </w14:textFill>
              </w:rPr>
              <w:t>85</w:t>
            </w:r>
            <w:r>
              <w:rPr>
                <w:rFonts w:hint="eastAsia" w:ascii="宋体" w:hAnsi="宋体"/>
                <w:b w:val="0"/>
                <w:color w:val="000000" w:themeColor="text1"/>
                <w:kern w:val="2"/>
                <w:szCs w:val="21"/>
                <w14:textFill>
                  <w14:solidFill>
                    <w14:schemeClr w14:val="tx1"/>
                  </w14:solidFill>
                </w14:textFill>
              </w:rPr>
              <w:t>%</w:t>
            </w:r>
          </w:p>
        </w:tc>
        <w:tc>
          <w:tcPr>
            <w:tcW w:w="1929" w:type="dxa"/>
            <w:vAlign w:val="center"/>
          </w:tcPr>
          <w:p>
            <w:pPr>
              <w:pStyle w:val="387"/>
              <w:widowControl w:val="0"/>
              <w:spacing w:line="360" w:lineRule="auto"/>
              <w:outlineLvl w:val="0"/>
              <w:rPr>
                <w:rFonts w:ascii="宋体" w:hAnsi="宋体"/>
                <w:b w:val="0"/>
                <w:szCs w:val="21"/>
              </w:rPr>
            </w:pPr>
            <w:r>
              <w:rPr>
                <w:rFonts w:hint="eastAsia" w:ascii="宋体" w:hAnsi="宋体"/>
                <w:b w:val="0"/>
                <w:szCs w:val="21"/>
              </w:rPr>
              <w:t>应在每学期开学</w:t>
            </w:r>
            <w:r>
              <w:rPr>
                <w:rFonts w:ascii="宋体" w:hAnsi="宋体"/>
                <w:b w:val="0"/>
                <w:szCs w:val="21"/>
              </w:rPr>
              <w:t>7天前交货</w:t>
            </w:r>
          </w:p>
        </w:tc>
      </w:tr>
    </w:tbl>
    <w:p>
      <w:pPr>
        <w:pStyle w:val="133"/>
        <w:adjustRightInd w:val="0"/>
        <w:snapToGrid w:val="0"/>
        <w:spacing w:line="460" w:lineRule="exact"/>
        <w:ind w:firstLine="420" w:firstLineChars="200"/>
        <w:jc w:val="left"/>
        <w:rPr>
          <w:rFonts w:ascii="宋体" w:hAnsi="宋体"/>
          <w:kern w:val="2"/>
          <w:szCs w:val="24"/>
        </w:rPr>
      </w:pPr>
      <w:r>
        <w:rPr>
          <w:rFonts w:ascii="宋体" w:hAnsi="宋体"/>
          <w:kern w:val="2"/>
        </w:rPr>
        <w:t>2.2</w:t>
      </w:r>
      <w:r>
        <w:rPr>
          <w:rFonts w:hint="eastAsia" w:ascii="宋体" w:hAnsi="宋体"/>
        </w:rPr>
        <w:t>服务期：202</w:t>
      </w:r>
      <w:r>
        <w:rPr>
          <w:rFonts w:ascii="宋体" w:hAnsi="宋体"/>
        </w:rPr>
        <w:t>2</w:t>
      </w:r>
      <w:r>
        <w:rPr>
          <w:rFonts w:hint="eastAsia" w:ascii="宋体" w:hAnsi="宋体"/>
        </w:rPr>
        <w:t>年1月-</w:t>
      </w:r>
      <w:r>
        <w:rPr>
          <w:rFonts w:ascii="宋体" w:hAnsi="宋体"/>
        </w:rPr>
        <w:t>2022</w:t>
      </w:r>
      <w:r>
        <w:rPr>
          <w:rFonts w:hint="eastAsia" w:ascii="宋体" w:hAnsi="宋体"/>
        </w:rPr>
        <w:t>年1</w:t>
      </w:r>
      <w:r>
        <w:rPr>
          <w:rFonts w:ascii="宋体" w:hAnsi="宋体"/>
        </w:rPr>
        <w:t>2</w:t>
      </w:r>
      <w:r>
        <w:rPr>
          <w:rFonts w:hint="eastAsia" w:ascii="宋体" w:hAnsi="宋体"/>
        </w:rPr>
        <w:t>月</w:t>
      </w:r>
    </w:p>
    <w:p>
      <w:pPr>
        <w:pStyle w:val="133"/>
        <w:adjustRightInd w:val="0"/>
        <w:snapToGrid w:val="0"/>
        <w:spacing w:line="460" w:lineRule="exact"/>
        <w:ind w:firstLine="420" w:firstLineChars="200"/>
        <w:jc w:val="left"/>
        <w:rPr>
          <w:rFonts w:ascii="宋体" w:hAnsi="宋体"/>
          <w:snapToGrid w:val="0"/>
        </w:rPr>
      </w:pPr>
      <w:bookmarkStart w:id="9" w:name="_Toc437009333"/>
      <w:r>
        <w:rPr>
          <w:rFonts w:ascii="宋体" w:hAnsi="宋体"/>
          <w:snapToGrid w:val="0"/>
        </w:rPr>
        <w:t>2.</w:t>
      </w:r>
      <w:r>
        <w:rPr>
          <w:rFonts w:hint="eastAsia" w:ascii="宋体" w:hAnsi="宋体"/>
          <w:snapToGrid w:val="0"/>
          <w:lang w:val="en-US" w:eastAsia="zh-CN"/>
        </w:rPr>
        <w:t>3</w:t>
      </w:r>
      <w:r>
        <w:rPr>
          <w:rFonts w:hint="eastAsia" w:ascii="宋体" w:hAnsi="宋体"/>
          <w:snapToGrid w:val="0"/>
        </w:rPr>
        <w:t>服务</w:t>
      </w:r>
      <w:r>
        <w:rPr>
          <w:rFonts w:ascii="宋体" w:hAnsi="宋体"/>
          <w:snapToGrid w:val="0"/>
        </w:rPr>
        <w:t>地点：</w:t>
      </w:r>
      <w:r>
        <w:rPr>
          <w:rFonts w:hint="eastAsia" w:ascii="宋体" w:hAnsi="宋体"/>
        </w:rPr>
        <w:t>重庆市立信职业教育中心</w:t>
      </w:r>
      <w:r>
        <w:rPr>
          <w:rFonts w:ascii="宋体" w:hAnsi="宋体"/>
        </w:rPr>
        <w:t>校内</w:t>
      </w:r>
      <w:r>
        <w:rPr>
          <w:rFonts w:hint="eastAsia" w:ascii="宋体" w:hAnsi="宋体"/>
        </w:rPr>
        <w:t>指定地点。</w:t>
      </w:r>
    </w:p>
    <w:p>
      <w:pPr>
        <w:pStyle w:val="4"/>
        <w:spacing w:line="460" w:lineRule="exact"/>
        <w:rPr>
          <w:rFonts w:ascii="宋体" w:eastAsia="宋体" w:cs="Times New Roman"/>
          <w:snapToGrid w:val="0"/>
          <w:sz w:val="24"/>
          <w:szCs w:val="24"/>
        </w:rPr>
      </w:pPr>
      <w:bookmarkStart w:id="10" w:name="_Toc463772159"/>
      <w:bookmarkStart w:id="11" w:name="_Toc73546936"/>
      <w:r>
        <w:rPr>
          <w:rFonts w:hint="eastAsia" w:ascii="宋体" w:eastAsia="宋体" w:cs="Times New Roman"/>
          <w:snapToGrid w:val="0"/>
          <w:sz w:val="24"/>
          <w:szCs w:val="24"/>
        </w:rPr>
        <w:t>3．投标人资格要求</w:t>
      </w:r>
      <w:bookmarkEnd w:id="9"/>
      <w:bookmarkEnd w:id="10"/>
      <w:bookmarkEnd w:id="11"/>
    </w:p>
    <w:p>
      <w:pPr>
        <w:adjustRightInd w:val="0"/>
        <w:snapToGrid w:val="0"/>
        <w:spacing w:line="460" w:lineRule="exact"/>
        <w:ind w:firstLine="422" w:firstLineChars="200"/>
        <w:rPr>
          <w:rFonts w:ascii="宋体" w:hAnsi="宋体"/>
          <w:b/>
          <w:szCs w:val="21"/>
        </w:rPr>
      </w:pPr>
      <w:bookmarkStart w:id="12" w:name="_Toc437009334"/>
      <w:bookmarkStart w:id="13" w:name="_Toc463772160"/>
      <w:r>
        <w:rPr>
          <w:rFonts w:ascii="宋体" w:hAnsi="宋体"/>
          <w:b/>
          <w:szCs w:val="21"/>
        </w:rPr>
        <w:t xml:space="preserve">3.1 </w:t>
      </w:r>
      <w:r>
        <w:rPr>
          <w:rFonts w:hint="eastAsia" w:ascii="宋体" w:hAnsi="宋体"/>
          <w:b/>
          <w:szCs w:val="21"/>
        </w:rPr>
        <w:t>本次招标要求投标人须满足以下要求</w:t>
      </w:r>
      <w:r>
        <w:rPr>
          <w:rFonts w:ascii="宋体" w:hAnsi="宋体"/>
          <w:b/>
          <w:szCs w:val="21"/>
        </w:rPr>
        <w:t>:</w:t>
      </w:r>
    </w:p>
    <w:p>
      <w:pPr>
        <w:spacing w:line="360" w:lineRule="auto"/>
        <w:ind w:firstLine="424" w:firstLineChars="202"/>
        <w:rPr>
          <w:rFonts w:ascii="宋体" w:hAnsi="宋体"/>
          <w:szCs w:val="21"/>
        </w:rPr>
      </w:pPr>
      <w:r>
        <w:rPr>
          <w:rFonts w:ascii="宋体" w:hAnsi="宋体"/>
          <w:szCs w:val="21"/>
        </w:rPr>
        <w:t>1.</w:t>
      </w:r>
      <w:r>
        <w:rPr>
          <w:rFonts w:hint="eastAsia" w:ascii="宋体" w:hAnsi="宋体"/>
          <w:szCs w:val="21"/>
        </w:rPr>
        <w:t>具有独立承担民事责任的能力；</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具有良好的商业信誉和健全的财务会计制度；</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具有履行合同所必需的设备和专业技术能力；</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有依法缴纳税收和社会保障资金的良好记录；</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参加政府采购活动近三年内，在经营活动中没有重大违法记录；</w:t>
      </w:r>
    </w:p>
    <w:p>
      <w:pPr>
        <w:spacing w:line="360" w:lineRule="auto"/>
        <w:ind w:firstLine="420" w:firstLineChars="200"/>
        <w:rPr>
          <w:rFonts w:ascii="宋体" w:hAnsi="宋体"/>
          <w:szCs w:val="21"/>
        </w:rPr>
      </w:pPr>
      <w:bookmarkStart w:id="14" w:name="_Toc421879532"/>
      <w:r>
        <w:rPr>
          <w:rFonts w:ascii="宋体" w:hAnsi="宋体"/>
          <w:szCs w:val="21"/>
        </w:rPr>
        <w:t>6.</w:t>
      </w:r>
      <w:r>
        <w:rPr>
          <w:rFonts w:hint="eastAsia" w:ascii="宋体" w:hAnsi="宋体"/>
          <w:szCs w:val="21"/>
        </w:rPr>
        <w:t>提供省、自治区、直辖市人民政府出版行政主管部门核发的《出版物经营许可证》，具备图书批发经营范围。</w:t>
      </w:r>
      <w:bookmarkEnd w:id="14"/>
    </w:p>
    <w:p>
      <w:pPr>
        <w:adjustRightInd w:val="0"/>
        <w:snapToGrid w:val="0"/>
        <w:spacing w:line="460" w:lineRule="exact"/>
        <w:ind w:firstLine="422" w:firstLineChars="200"/>
        <w:rPr>
          <w:rFonts w:ascii="宋体" w:hAnsi="宋体"/>
          <w:b/>
          <w:szCs w:val="21"/>
        </w:rPr>
      </w:pPr>
      <w:r>
        <w:rPr>
          <w:rFonts w:ascii="宋体" w:hAnsi="宋体"/>
          <w:b/>
          <w:szCs w:val="21"/>
        </w:rPr>
        <w:t>3.2本项目不接受联合体投标。</w:t>
      </w:r>
    </w:p>
    <w:p>
      <w:pPr>
        <w:adjustRightInd w:val="0"/>
        <w:snapToGrid w:val="0"/>
        <w:spacing w:line="460" w:lineRule="exact"/>
        <w:ind w:firstLine="422" w:firstLineChars="200"/>
        <w:rPr>
          <w:rFonts w:hint="eastAsia" w:eastAsia="宋体"/>
          <w:lang w:eastAsia="zh-CN"/>
        </w:rPr>
      </w:pPr>
      <w:r>
        <w:rPr>
          <w:rFonts w:ascii="宋体" w:hAnsi="宋体"/>
          <w:b/>
          <w:szCs w:val="21"/>
        </w:rPr>
        <w:t>3.</w:t>
      </w:r>
      <w:r>
        <w:rPr>
          <w:rFonts w:hint="eastAsia" w:ascii="宋体" w:hAnsi="宋体"/>
          <w:b/>
          <w:szCs w:val="21"/>
          <w:lang w:val="en-US" w:eastAsia="zh-CN"/>
        </w:rPr>
        <w:t>3</w:t>
      </w:r>
      <w:r>
        <w:rPr>
          <w:rFonts w:ascii="宋体" w:hAnsi="宋体"/>
          <w:b/>
          <w:szCs w:val="21"/>
        </w:rPr>
        <w:t xml:space="preserve"> </w:t>
      </w:r>
      <w:r>
        <w:rPr>
          <w:rFonts w:hint="eastAsia" w:ascii="宋体" w:hAnsi="宋体"/>
          <w:b/>
          <w:szCs w:val="21"/>
        </w:rPr>
        <w:t>按照疫情期间防疫管理要求，投标人进入校园须全程佩戴口罩，检测体温</w:t>
      </w:r>
      <w:r>
        <w:rPr>
          <w:rFonts w:hint="eastAsia" w:ascii="宋体" w:hAnsi="宋体"/>
          <w:b/>
          <w:szCs w:val="21"/>
          <w:lang w:eastAsia="zh-CN"/>
        </w:rPr>
        <w:t>，</w:t>
      </w:r>
      <w:r>
        <w:rPr>
          <w:rFonts w:hint="eastAsia" w:ascii="宋体" w:hAnsi="宋体"/>
          <w:b/>
          <w:szCs w:val="21"/>
          <w:lang w:val="en-US" w:eastAsia="zh-CN"/>
        </w:rPr>
        <w:t>出示</w:t>
      </w:r>
      <w:r>
        <w:rPr>
          <w:rFonts w:hint="eastAsia" w:ascii="宋体" w:hAnsi="宋体"/>
          <w:b/>
          <w:szCs w:val="21"/>
        </w:rPr>
        <w:t>健康码、行程码，</w:t>
      </w:r>
      <w:r>
        <w:rPr>
          <w:rFonts w:hint="eastAsia" w:ascii="宋体" w:hAnsi="宋体"/>
          <w:b/>
          <w:szCs w:val="21"/>
          <w:lang w:val="en-US" w:eastAsia="zh-CN"/>
        </w:rPr>
        <w:t>并</w:t>
      </w:r>
      <w:r>
        <w:rPr>
          <w:rFonts w:hint="eastAsia" w:ascii="宋体" w:hAnsi="宋体"/>
          <w:b/>
          <w:szCs w:val="21"/>
        </w:rPr>
        <w:t>做好登记。如投标人“行程码”显示有重庆市外行动轨迹，须提供</w:t>
      </w:r>
      <w:r>
        <w:rPr>
          <w:rFonts w:hint="eastAsia" w:ascii="宋体" w:hAnsi="宋体"/>
          <w:b/>
          <w:szCs w:val="21"/>
          <w:lang w:val="en-US" w:eastAsia="zh-CN"/>
        </w:rPr>
        <w:t>来渝</w:t>
      </w:r>
      <w:r>
        <w:rPr>
          <w:rFonts w:hint="eastAsia" w:ascii="宋体" w:hAnsi="宋体"/>
          <w:b/>
          <w:szCs w:val="21"/>
        </w:rPr>
        <w:t>核酸</w:t>
      </w:r>
      <w:r>
        <w:rPr>
          <w:rFonts w:hint="eastAsia" w:ascii="宋体" w:hAnsi="宋体"/>
          <w:b/>
          <w:szCs w:val="21"/>
          <w:lang w:val="en-US" w:eastAsia="zh-CN"/>
        </w:rPr>
        <w:t>检测</w:t>
      </w:r>
      <w:r>
        <w:rPr>
          <w:rFonts w:hint="eastAsia" w:ascii="宋体" w:hAnsi="宋体"/>
          <w:b/>
          <w:szCs w:val="21"/>
        </w:rPr>
        <w:t>证明</w:t>
      </w:r>
      <w:r>
        <w:rPr>
          <w:rFonts w:hint="eastAsia" w:ascii="宋体" w:hAnsi="宋体"/>
          <w:b/>
          <w:szCs w:val="21"/>
          <w:lang w:eastAsia="zh-CN"/>
        </w:rPr>
        <w:t>。</w:t>
      </w:r>
      <w:r>
        <w:rPr>
          <w:rFonts w:hint="eastAsia" w:ascii="宋体" w:hAnsi="宋体"/>
          <w:b/>
          <w:szCs w:val="21"/>
        </w:rPr>
        <w:t>渝康码为“黄码”、“红码”，或有发热、咳嗽、乏力等不适症状</w:t>
      </w:r>
      <w:r>
        <w:rPr>
          <w:rFonts w:hint="eastAsia" w:ascii="宋体" w:hAnsi="宋体"/>
          <w:b/>
          <w:szCs w:val="21"/>
          <w:lang w:val="en-US" w:eastAsia="zh-CN"/>
        </w:rPr>
        <w:t>者一律</w:t>
      </w:r>
      <w:r>
        <w:rPr>
          <w:rFonts w:hint="eastAsia" w:ascii="宋体" w:hAnsi="宋体"/>
          <w:b/>
          <w:szCs w:val="21"/>
        </w:rPr>
        <w:t>不得进入校园。</w:t>
      </w:r>
      <w:r>
        <w:rPr>
          <w:rFonts w:hint="eastAsia" w:ascii="宋体" w:hAnsi="宋体"/>
          <w:b/>
          <w:szCs w:val="21"/>
          <w:lang w:val="en-US" w:eastAsia="zh-CN"/>
        </w:rPr>
        <w:t>同时，</w:t>
      </w:r>
      <w:r>
        <w:rPr>
          <w:rFonts w:hint="eastAsia" w:ascii="宋体" w:hAnsi="宋体"/>
          <w:b/>
          <w:szCs w:val="21"/>
        </w:rPr>
        <w:t>投标人须提前向学校报备</w:t>
      </w:r>
      <w:r>
        <w:rPr>
          <w:rFonts w:hint="eastAsia" w:ascii="宋体" w:hAnsi="宋体"/>
          <w:b/>
          <w:szCs w:val="21"/>
          <w:lang w:eastAsia="zh-CN"/>
        </w:rPr>
        <w:t>。</w:t>
      </w:r>
    </w:p>
    <w:p>
      <w:pPr>
        <w:pStyle w:val="4"/>
        <w:spacing w:line="460" w:lineRule="exact"/>
        <w:rPr>
          <w:rFonts w:hint="default" w:ascii="宋体" w:eastAsia="宋体" w:cs="Times New Roman"/>
          <w:snapToGrid w:val="0"/>
          <w:sz w:val="24"/>
          <w:szCs w:val="24"/>
          <w:lang w:val="en-US" w:eastAsia="zh-CN"/>
        </w:rPr>
      </w:pPr>
      <w:bookmarkStart w:id="15" w:name="_Toc73546937"/>
      <w:r>
        <w:rPr>
          <w:rFonts w:hint="eastAsia" w:ascii="宋体" w:eastAsia="宋体" w:cs="Times New Roman"/>
          <w:snapToGrid w:val="0"/>
          <w:sz w:val="24"/>
          <w:szCs w:val="24"/>
        </w:rPr>
        <w:t>4．</w:t>
      </w:r>
      <w:r>
        <w:rPr>
          <w:rFonts w:hint="eastAsia" w:ascii="宋体" w:eastAsia="宋体" w:cs="Times New Roman"/>
          <w:snapToGrid w:val="0"/>
          <w:sz w:val="24"/>
          <w:szCs w:val="24"/>
          <w:lang w:val="en-US" w:eastAsia="zh-CN"/>
        </w:rPr>
        <w:t>投标</w:t>
      </w:r>
      <w:bookmarkEnd w:id="12"/>
      <w:bookmarkEnd w:id="13"/>
      <w:bookmarkEnd w:id="15"/>
      <w:r>
        <w:rPr>
          <w:rFonts w:hint="eastAsia" w:ascii="宋体" w:eastAsia="宋体" w:cs="Times New Roman"/>
          <w:snapToGrid w:val="0"/>
          <w:sz w:val="24"/>
          <w:szCs w:val="24"/>
          <w:lang w:val="en-US" w:eastAsia="zh-CN"/>
        </w:rPr>
        <w:t>报备：</w:t>
      </w:r>
    </w:p>
    <w:p>
      <w:pPr>
        <w:tabs>
          <w:tab w:val="left" w:pos="360"/>
        </w:tabs>
        <w:spacing w:line="360" w:lineRule="auto"/>
        <w:ind w:firstLine="420" w:firstLineChars="200"/>
        <w:rPr>
          <w:rFonts w:hint="default" w:ascii="宋体" w:hAnsi="宋体" w:cs="宋体"/>
          <w:szCs w:val="21"/>
          <w:lang w:val="en-US" w:eastAsia="zh-CN"/>
        </w:rPr>
      </w:pPr>
      <w:bookmarkStart w:id="16" w:name="_Toc437009335"/>
      <w:bookmarkStart w:id="17" w:name="_Toc463772161"/>
      <w:r>
        <w:rPr>
          <w:rFonts w:hint="eastAsia" w:ascii="宋体" w:hAnsi="宋体" w:cs="宋体"/>
          <w:szCs w:val="21"/>
        </w:rPr>
        <w:t>1.报备截止时间：</w:t>
      </w:r>
      <w:r>
        <w:rPr>
          <w:rFonts w:hint="eastAsia" w:ascii="宋体" w:hAnsi="宋体" w:cs="宋体"/>
          <w:szCs w:val="21"/>
          <w:lang w:val="en-US" w:eastAsia="zh-CN"/>
        </w:rPr>
        <w:t>2022</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w:t>
      </w:r>
      <w:r>
        <w:rPr>
          <w:rFonts w:hint="eastAsia" w:ascii="宋体" w:hAnsi="宋体" w:cs="宋体"/>
          <w:szCs w:val="21"/>
          <w:lang w:val="en-US" w:eastAsia="zh-CN"/>
        </w:rPr>
        <w:t>下午5：00前。</w:t>
      </w:r>
    </w:p>
    <w:p>
      <w:pPr>
        <w:tabs>
          <w:tab w:val="left" w:pos="360"/>
        </w:tabs>
        <w:spacing w:line="360" w:lineRule="auto"/>
        <w:ind w:firstLine="420" w:firstLineChars="200"/>
        <w:rPr>
          <w:rFonts w:hint="eastAsia" w:ascii="宋体" w:hAnsi="宋体" w:cs="宋体"/>
          <w:szCs w:val="21"/>
        </w:rPr>
      </w:pPr>
      <w:r>
        <w:rPr>
          <w:rFonts w:hint="eastAsia" w:ascii="宋体" w:hAnsi="宋体" w:cs="宋体"/>
          <w:szCs w:val="21"/>
        </w:rPr>
        <w:t>2.报备方式：短信</w:t>
      </w:r>
    </w:p>
    <w:p>
      <w:pPr>
        <w:tabs>
          <w:tab w:val="left" w:pos="360"/>
        </w:tabs>
        <w:spacing w:line="360" w:lineRule="auto"/>
        <w:ind w:firstLine="420" w:firstLineChars="200"/>
        <w:rPr>
          <w:rFonts w:hint="eastAsia" w:ascii="宋体" w:hAnsi="宋体" w:cs="宋体"/>
          <w:szCs w:val="21"/>
        </w:rPr>
      </w:pPr>
      <w:r>
        <w:rPr>
          <w:rFonts w:hint="eastAsia" w:ascii="宋体" w:hAnsi="宋体" w:cs="宋体"/>
          <w:szCs w:val="21"/>
        </w:rPr>
        <w:t>短信内容为：投标项目名称+公司名称+联系人+联系方式</w:t>
      </w:r>
    </w:p>
    <w:p>
      <w:pPr>
        <w:tabs>
          <w:tab w:val="left" w:pos="360"/>
        </w:tabs>
        <w:spacing w:line="360" w:lineRule="auto"/>
        <w:ind w:firstLine="420" w:firstLineChars="200"/>
        <w:rPr>
          <w:rFonts w:ascii="宋体" w:hAnsi="宋体"/>
        </w:rPr>
      </w:pPr>
      <w:r>
        <w:rPr>
          <w:rFonts w:hint="eastAsia" w:ascii="宋体" w:hAnsi="宋体" w:cs="宋体"/>
          <w:szCs w:val="21"/>
        </w:rPr>
        <w:t>3.报备联系人：潘洪英（13452395852）</w:t>
      </w:r>
    </w:p>
    <w:p>
      <w:pPr>
        <w:pStyle w:val="4"/>
        <w:spacing w:line="460" w:lineRule="exact"/>
        <w:rPr>
          <w:rFonts w:hint="default" w:ascii="宋体" w:eastAsia="宋体" w:cs="Times New Roman"/>
          <w:snapToGrid w:val="0"/>
          <w:sz w:val="24"/>
          <w:szCs w:val="24"/>
          <w:lang w:val="en-US" w:eastAsia="zh-CN"/>
        </w:rPr>
      </w:pPr>
      <w:bookmarkStart w:id="18" w:name="_Toc73546938"/>
      <w:r>
        <w:rPr>
          <w:rFonts w:hint="eastAsia" w:ascii="宋体" w:eastAsia="宋体" w:cs="Times New Roman"/>
          <w:snapToGrid w:val="0"/>
          <w:sz w:val="24"/>
          <w:szCs w:val="24"/>
        </w:rPr>
        <w:t>5．</w:t>
      </w:r>
      <w:bookmarkEnd w:id="16"/>
      <w:bookmarkEnd w:id="17"/>
      <w:bookmarkEnd w:id="18"/>
      <w:r>
        <w:rPr>
          <w:rFonts w:hint="eastAsia" w:ascii="宋体" w:eastAsia="宋体" w:cs="Times New Roman"/>
          <w:snapToGrid w:val="0"/>
          <w:sz w:val="24"/>
          <w:szCs w:val="24"/>
          <w:lang w:val="en-US" w:eastAsia="zh-CN"/>
        </w:rPr>
        <w:t>开标与投标：</w:t>
      </w:r>
    </w:p>
    <w:p>
      <w:pPr>
        <w:tabs>
          <w:tab w:val="left" w:pos="360"/>
        </w:tabs>
        <w:spacing w:line="360" w:lineRule="auto"/>
        <w:ind w:firstLine="420" w:firstLineChars="200"/>
        <w:rPr>
          <w:rFonts w:hint="eastAsia" w:ascii="宋体" w:hAnsi="宋体" w:cs="宋体"/>
          <w:szCs w:val="21"/>
        </w:rPr>
      </w:pPr>
      <w:bookmarkStart w:id="19" w:name="_Toc22313167"/>
      <w:bookmarkStart w:id="20" w:name="_Toc73546939"/>
      <w:bookmarkStart w:id="21" w:name="_Toc437009336"/>
      <w:bookmarkStart w:id="22" w:name="_Toc463772163"/>
      <w:r>
        <w:rPr>
          <w:rFonts w:hint="eastAsia" w:ascii="宋体" w:hAnsi="宋体" w:cs="宋体"/>
          <w:szCs w:val="21"/>
        </w:rPr>
        <w:t>1.评审成员：由甲方组织相关人员构成。</w:t>
      </w:r>
    </w:p>
    <w:p>
      <w:pPr>
        <w:tabs>
          <w:tab w:val="left" w:pos="360"/>
        </w:tabs>
        <w:spacing w:line="360" w:lineRule="auto"/>
        <w:ind w:firstLine="420" w:firstLineChars="200"/>
        <w:rPr>
          <w:rFonts w:hint="eastAsia" w:ascii="宋体" w:hAnsi="宋体" w:cs="宋体"/>
          <w:szCs w:val="21"/>
        </w:rPr>
      </w:pPr>
      <w:r>
        <w:rPr>
          <w:rFonts w:hint="eastAsia" w:ascii="宋体" w:hAnsi="宋体" w:cs="宋体"/>
          <w:szCs w:val="21"/>
        </w:rPr>
        <w:t>2.投标：</w:t>
      </w:r>
      <w:r>
        <w:rPr>
          <w:rFonts w:hint="eastAsia" w:ascii="宋体" w:hAnsi="宋体" w:cs="宋体"/>
          <w:szCs w:val="21"/>
          <w:lang w:val="en-US" w:eastAsia="zh-CN"/>
        </w:rPr>
        <w:t>2022</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日上午</w:t>
      </w:r>
      <w:r>
        <w:rPr>
          <w:rFonts w:hint="eastAsia" w:ascii="宋体" w:hAnsi="宋体" w:cs="宋体"/>
          <w:szCs w:val="21"/>
          <w:lang w:val="en-US" w:eastAsia="zh-CN"/>
        </w:rPr>
        <w:t>9</w:t>
      </w:r>
      <w:r>
        <w:rPr>
          <w:rFonts w:hint="eastAsia" w:ascii="宋体" w:hAnsi="宋体" w:cs="宋体"/>
          <w:szCs w:val="21"/>
        </w:rPr>
        <w:t>:40前——将投标文件送达重庆市沙坪坝区歌乐山会车场119号立信北校区</w:t>
      </w:r>
      <w:r>
        <w:rPr>
          <w:rFonts w:hint="eastAsia" w:ascii="宋体" w:hAnsi="宋体" w:cs="宋体"/>
          <w:szCs w:val="21"/>
          <w:lang w:eastAsia="zh-CN"/>
        </w:rPr>
        <w:t>互</w:t>
      </w:r>
      <w:r>
        <w:rPr>
          <w:rFonts w:hint="eastAsia" w:ascii="宋体" w:hAnsi="宋体" w:cs="宋体"/>
          <w:szCs w:val="21"/>
        </w:rPr>
        <w:t>信楼二楼三会议室。</w:t>
      </w:r>
    </w:p>
    <w:p>
      <w:pPr>
        <w:tabs>
          <w:tab w:val="left" w:pos="360"/>
        </w:tabs>
        <w:spacing w:line="360" w:lineRule="auto"/>
        <w:ind w:firstLine="420" w:firstLineChars="200"/>
        <w:rPr>
          <w:rFonts w:hint="eastAsia" w:ascii="宋体" w:hAnsi="宋体" w:cs="宋体"/>
          <w:szCs w:val="21"/>
        </w:rPr>
      </w:pPr>
      <w:r>
        <w:rPr>
          <w:rFonts w:hint="eastAsia" w:ascii="宋体" w:hAnsi="宋体" w:cs="宋体"/>
          <w:szCs w:val="21"/>
        </w:rPr>
        <w:t>3.开标：</w:t>
      </w:r>
      <w:r>
        <w:rPr>
          <w:rFonts w:hint="eastAsia" w:ascii="宋体" w:hAnsi="宋体" w:cs="宋体"/>
          <w:szCs w:val="21"/>
          <w:lang w:val="en-US" w:eastAsia="zh-CN"/>
        </w:rPr>
        <w:t>2022</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日上午</w:t>
      </w:r>
      <w:r>
        <w:rPr>
          <w:rFonts w:hint="eastAsia" w:ascii="宋体" w:hAnsi="宋体" w:cs="宋体"/>
          <w:szCs w:val="21"/>
          <w:lang w:val="en-US" w:eastAsia="zh-CN"/>
        </w:rPr>
        <w:t>10</w:t>
      </w:r>
      <w:r>
        <w:rPr>
          <w:rFonts w:hint="eastAsia" w:ascii="宋体" w:hAnsi="宋体" w:cs="宋体"/>
          <w:szCs w:val="21"/>
        </w:rPr>
        <w:t>:00——开标。</w:t>
      </w:r>
    </w:p>
    <w:p>
      <w:pPr>
        <w:pStyle w:val="4"/>
        <w:spacing w:line="460" w:lineRule="exact"/>
        <w:rPr>
          <w:rFonts w:ascii="宋体" w:eastAsia="宋体" w:cs="Times New Roman"/>
          <w:snapToGrid w:val="0"/>
          <w:sz w:val="24"/>
          <w:szCs w:val="24"/>
        </w:rPr>
      </w:pPr>
      <w:r>
        <w:rPr>
          <w:rFonts w:hint="eastAsia" w:ascii="宋体" w:eastAsia="宋体" w:cs="Times New Roman"/>
          <w:snapToGrid w:val="0"/>
          <w:sz w:val="24"/>
          <w:szCs w:val="24"/>
        </w:rPr>
        <w:t>6、发布公告的媒介</w:t>
      </w:r>
      <w:bookmarkEnd w:id="19"/>
      <w:bookmarkEnd w:id="20"/>
    </w:p>
    <w:p>
      <w:pPr>
        <w:spacing w:line="360" w:lineRule="auto"/>
        <w:ind w:firstLine="420" w:firstLineChars="200"/>
        <w:rPr>
          <w:rFonts w:ascii="宋体" w:hAnsi="宋体" w:cs="宋体"/>
          <w:color w:val="FF0000"/>
          <w:szCs w:val="21"/>
        </w:rPr>
      </w:pPr>
      <w:r>
        <w:rPr>
          <w:rFonts w:hint="eastAsia" w:ascii="宋体" w:hAnsi="宋体" w:cs="宋体"/>
          <w:color w:val="FF0000"/>
          <w:szCs w:val="21"/>
        </w:rPr>
        <w:t>本次招标公告在</w:t>
      </w:r>
      <w:r>
        <w:rPr>
          <w:rFonts w:hint="eastAsia" w:ascii="宋体" w:hAnsi="宋体"/>
          <w:color w:val="FF0000"/>
          <w:spacing w:val="-10"/>
        </w:rPr>
        <w:t>重庆市立信职业教育中心官网</w:t>
      </w:r>
      <w:r>
        <w:rPr>
          <w:rFonts w:hint="eastAsia" w:ascii="宋体" w:hAnsi="宋体" w:cs="宋体"/>
          <w:color w:val="FF0000"/>
          <w:szCs w:val="21"/>
        </w:rPr>
        <w:t>上发布。</w:t>
      </w:r>
    </w:p>
    <w:p>
      <w:pPr>
        <w:pStyle w:val="4"/>
        <w:spacing w:line="460" w:lineRule="exact"/>
        <w:rPr>
          <w:rFonts w:ascii="宋体" w:eastAsia="宋体" w:cs="Times New Roman"/>
          <w:snapToGrid w:val="0"/>
          <w:sz w:val="24"/>
          <w:szCs w:val="24"/>
        </w:rPr>
      </w:pPr>
      <w:bookmarkStart w:id="23" w:name="_Toc73546940"/>
      <w:r>
        <w:rPr>
          <w:rFonts w:ascii="宋体" w:eastAsia="宋体" w:cs="Times New Roman"/>
          <w:snapToGrid w:val="0"/>
          <w:sz w:val="24"/>
          <w:szCs w:val="24"/>
        </w:rPr>
        <w:t>7</w:t>
      </w:r>
      <w:r>
        <w:rPr>
          <w:rFonts w:hint="eastAsia" w:ascii="宋体" w:eastAsia="宋体" w:cs="Times New Roman"/>
          <w:snapToGrid w:val="0"/>
          <w:sz w:val="24"/>
          <w:szCs w:val="24"/>
        </w:rPr>
        <w:t>．联系方式</w:t>
      </w:r>
      <w:bookmarkEnd w:id="21"/>
      <w:bookmarkEnd w:id="22"/>
      <w:bookmarkEnd w:id="23"/>
    </w:p>
    <w:p>
      <w:pPr>
        <w:tabs>
          <w:tab w:val="left" w:pos="4697"/>
        </w:tabs>
        <w:snapToGrid w:val="0"/>
        <w:spacing w:line="460" w:lineRule="exact"/>
        <w:ind w:firstLine="315" w:firstLineChars="150"/>
        <w:jc w:val="left"/>
        <w:rPr>
          <w:rFonts w:ascii="宋体" w:hAnsi="宋体"/>
          <w:spacing w:val="-10"/>
        </w:rPr>
      </w:pPr>
      <w:r>
        <w:rPr>
          <w:rFonts w:hint="eastAsia" w:ascii="宋体" w:hAnsi="宋体"/>
        </w:rPr>
        <w:t>招标人：</w:t>
      </w:r>
      <w:r>
        <w:rPr>
          <w:rFonts w:hint="eastAsia" w:ascii="宋体" w:hAnsi="宋体"/>
          <w:spacing w:val="-10"/>
        </w:rPr>
        <w:t>重庆市立信职业教育中心</w:t>
      </w:r>
    </w:p>
    <w:p>
      <w:pPr>
        <w:tabs>
          <w:tab w:val="left" w:pos="4697"/>
        </w:tabs>
        <w:snapToGrid w:val="0"/>
        <w:spacing w:line="460" w:lineRule="exact"/>
        <w:ind w:firstLine="315" w:firstLineChars="150"/>
        <w:jc w:val="left"/>
        <w:rPr>
          <w:rFonts w:ascii="宋体" w:hAnsi="宋体"/>
          <w:szCs w:val="21"/>
        </w:rPr>
      </w:pPr>
      <w:r>
        <w:rPr>
          <w:rFonts w:hint="eastAsia" w:ascii="宋体" w:hAnsi="宋体"/>
        </w:rPr>
        <w:t>地</w:t>
      </w:r>
      <w:r>
        <w:rPr>
          <w:rFonts w:ascii="宋体" w:hAnsi="宋体"/>
        </w:rPr>
        <w:t xml:space="preserve">  </w:t>
      </w:r>
      <w:r>
        <w:rPr>
          <w:rFonts w:hint="eastAsia" w:ascii="宋体" w:hAnsi="宋体"/>
        </w:rPr>
        <w:t>址：重庆市沙坪坝区歌乐山会车场1</w:t>
      </w:r>
      <w:r>
        <w:rPr>
          <w:rFonts w:ascii="宋体" w:hAnsi="宋体"/>
        </w:rPr>
        <w:t>19号</w:t>
      </w:r>
    </w:p>
    <w:p>
      <w:pPr>
        <w:tabs>
          <w:tab w:val="left" w:pos="4697"/>
        </w:tabs>
        <w:snapToGrid w:val="0"/>
        <w:spacing w:line="460" w:lineRule="exact"/>
        <w:ind w:firstLine="315" w:firstLineChars="150"/>
        <w:jc w:val="left"/>
        <w:rPr>
          <w:rFonts w:hint="eastAsia" w:ascii="宋体" w:hAnsi="宋体" w:eastAsia="宋体"/>
          <w:szCs w:val="21"/>
          <w:lang w:val="en-US" w:eastAsia="zh-CN"/>
        </w:rPr>
      </w:pPr>
      <w:r>
        <w:rPr>
          <w:rFonts w:hint="eastAsia" w:ascii="宋体" w:hAnsi="宋体"/>
        </w:rPr>
        <w:t>联系人：</w:t>
      </w:r>
      <w:r>
        <w:rPr>
          <w:rFonts w:hint="eastAsia" w:ascii="宋体" w:hAnsi="宋体"/>
          <w:lang w:val="en-US" w:eastAsia="zh-CN"/>
        </w:rPr>
        <w:t>潘洪英</w:t>
      </w:r>
    </w:p>
    <w:p>
      <w:pPr>
        <w:tabs>
          <w:tab w:val="left" w:pos="4697"/>
        </w:tabs>
        <w:snapToGrid w:val="0"/>
        <w:spacing w:line="460" w:lineRule="exact"/>
        <w:ind w:firstLine="315" w:firstLineChars="150"/>
        <w:jc w:val="left"/>
        <w:rPr>
          <w:rFonts w:hint="default" w:ascii="宋体" w:hAnsi="宋体" w:eastAsia="宋体"/>
          <w:lang w:val="en-US" w:eastAsia="zh-CN"/>
        </w:rPr>
      </w:pPr>
      <w:r>
        <w:rPr>
          <w:rFonts w:hint="eastAsia" w:ascii="宋体" w:hAnsi="宋体"/>
        </w:rPr>
        <w:t>电</w:t>
      </w:r>
      <w:r>
        <w:rPr>
          <w:rFonts w:ascii="宋体" w:hAnsi="宋体"/>
        </w:rPr>
        <w:t xml:space="preserve">  </w:t>
      </w:r>
      <w:r>
        <w:rPr>
          <w:rFonts w:hint="eastAsia" w:ascii="宋体" w:hAnsi="宋体"/>
        </w:rPr>
        <w:t>话：</w:t>
      </w:r>
      <w:r>
        <w:rPr>
          <w:rFonts w:hint="eastAsia" w:ascii="宋体" w:hAnsi="宋体"/>
          <w:lang w:val="en-US" w:eastAsia="zh-CN"/>
        </w:rPr>
        <w:t>13452395852</w:t>
      </w:r>
    </w:p>
    <w:bookmarkEnd w:id="2"/>
    <w:p>
      <w:pPr>
        <w:tabs>
          <w:tab w:val="left" w:pos="4697"/>
        </w:tabs>
        <w:snapToGrid w:val="0"/>
        <w:spacing w:line="460" w:lineRule="exact"/>
        <w:ind w:firstLine="285" w:firstLineChars="150"/>
        <w:jc w:val="left"/>
        <w:rPr>
          <w:rFonts w:ascii="宋体" w:hAnsi="宋体"/>
          <w:spacing w:val="-10"/>
        </w:rPr>
      </w:pPr>
    </w:p>
    <w:p>
      <w:pPr>
        <w:spacing w:line="460" w:lineRule="exact"/>
        <w:jc w:val="right"/>
        <w:rPr>
          <w:rFonts w:ascii="宋体" w:hAnsi="宋体"/>
          <w:u w:val="single"/>
        </w:rPr>
      </w:pPr>
    </w:p>
    <w:p>
      <w:pPr>
        <w:spacing w:line="460" w:lineRule="exact"/>
        <w:jc w:val="right"/>
        <w:rPr>
          <w:rFonts w:ascii="宋体" w:hAnsi="宋体"/>
        </w:rPr>
      </w:pPr>
    </w:p>
    <w:p>
      <w:pPr>
        <w:pStyle w:val="3"/>
        <w:spacing w:line="288" w:lineRule="auto"/>
        <w:jc w:val="center"/>
        <w:rPr>
          <w:rFonts w:ascii="宋体" w:hAnsi="宋体"/>
          <w:kern w:val="0"/>
        </w:rPr>
        <w:sectPr>
          <w:footerReference r:id="rId9" w:type="first"/>
          <w:pgSz w:w="11906" w:h="16838"/>
          <w:pgMar w:top="1440" w:right="1247" w:bottom="1089" w:left="1247" w:header="851" w:footer="992" w:gutter="0"/>
          <w:pgNumType w:start="1"/>
          <w:cols w:space="720" w:num="1"/>
          <w:titlePg/>
          <w:docGrid w:type="lines" w:linePitch="312" w:charSpace="0"/>
        </w:sectPr>
      </w:pPr>
    </w:p>
    <w:p>
      <w:pPr>
        <w:pStyle w:val="3"/>
        <w:spacing w:line="288" w:lineRule="auto"/>
        <w:jc w:val="center"/>
        <w:rPr>
          <w:rFonts w:ascii="宋体" w:hAnsi="宋体"/>
          <w:kern w:val="0"/>
        </w:rPr>
      </w:pPr>
      <w:bookmarkStart w:id="24" w:name="_Toc73546941"/>
      <w:r>
        <w:rPr>
          <w:rFonts w:hint="eastAsia" w:ascii="宋体" w:hAnsi="宋体"/>
          <w:kern w:val="0"/>
        </w:rPr>
        <w:t>第二章</w:t>
      </w:r>
      <w:r>
        <w:rPr>
          <w:rFonts w:ascii="宋体" w:hAnsi="宋体"/>
          <w:kern w:val="0"/>
        </w:rPr>
        <w:t xml:space="preserve"> </w:t>
      </w:r>
      <w:r>
        <w:rPr>
          <w:rFonts w:hint="eastAsia" w:ascii="宋体" w:hAnsi="宋体"/>
          <w:kern w:val="0"/>
        </w:rPr>
        <w:t>投标人须知</w:t>
      </w:r>
      <w:bookmarkEnd w:id="24"/>
    </w:p>
    <w:p>
      <w:pPr>
        <w:pStyle w:val="4"/>
        <w:spacing w:line="288" w:lineRule="auto"/>
        <w:rPr>
          <w:rFonts w:ascii="宋体" w:eastAsia="宋体" w:cs="Times New Roman"/>
          <w:sz w:val="24"/>
          <w:szCs w:val="24"/>
        </w:rPr>
      </w:pPr>
      <w:bookmarkStart w:id="25" w:name="_Toc291847017"/>
      <w:bookmarkStart w:id="26" w:name="_Toc73546942"/>
      <w:r>
        <w:rPr>
          <w:rFonts w:hint="eastAsia" w:ascii="宋体" w:eastAsia="宋体" w:cs="Times New Roman"/>
          <w:sz w:val="24"/>
          <w:szCs w:val="24"/>
        </w:rPr>
        <w:t>投标人须知前附表</w:t>
      </w:r>
      <w:bookmarkEnd w:id="25"/>
      <w:bookmarkEnd w:id="26"/>
    </w:p>
    <w:tbl>
      <w:tblPr>
        <w:tblStyle w:val="52"/>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491"/>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kern w:val="0"/>
                <w:szCs w:val="21"/>
              </w:rPr>
            </w:pPr>
            <w:r>
              <w:rPr>
                <w:rFonts w:hint="eastAsia" w:ascii="宋体" w:hAnsi="宋体"/>
                <w:b/>
                <w:kern w:val="0"/>
                <w:szCs w:val="21"/>
              </w:rPr>
              <w:t>条</w:t>
            </w:r>
            <w:r>
              <w:rPr>
                <w:rFonts w:ascii="宋体" w:hAnsi="宋体"/>
                <w:b/>
                <w:kern w:val="0"/>
                <w:szCs w:val="21"/>
              </w:rPr>
              <w:t xml:space="preserve"> </w:t>
            </w:r>
            <w:r>
              <w:rPr>
                <w:rFonts w:hint="eastAsia" w:ascii="宋体" w:hAnsi="宋体"/>
                <w:b/>
                <w:kern w:val="0"/>
                <w:szCs w:val="21"/>
              </w:rPr>
              <w:t>款</w:t>
            </w:r>
            <w:r>
              <w:rPr>
                <w:rFonts w:ascii="宋体" w:hAnsi="宋体"/>
                <w:b/>
                <w:kern w:val="0"/>
                <w:szCs w:val="21"/>
              </w:rPr>
              <w:t xml:space="preserve"> </w:t>
            </w:r>
            <w:r>
              <w:rPr>
                <w:rFonts w:hint="eastAsia" w:ascii="宋体" w:hAnsi="宋体"/>
                <w:b/>
                <w:kern w:val="0"/>
                <w:szCs w:val="21"/>
              </w:rPr>
              <w:t>号</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kern w:val="0"/>
                <w:szCs w:val="21"/>
              </w:rPr>
            </w:pPr>
            <w:r>
              <w:rPr>
                <w:rFonts w:hint="eastAsia" w:ascii="宋体" w:hAnsi="宋体"/>
                <w:b/>
                <w:kern w:val="0"/>
                <w:szCs w:val="21"/>
              </w:rPr>
              <w:t>条款名称</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kern w:val="0"/>
                <w:szCs w:val="21"/>
              </w:rPr>
            </w:pPr>
            <w:r>
              <w:rPr>
                <w:rFonts w:hint="eastAsia" w:ascii="宋体" w:hAnsi="宋体"/>
                <w:b/>
                <w:kern w:val="0"/>
                <w:szCs w:val="21"/>
              </w:rPr>
              <w:t>编</w:t>
            </w:r>
            <w:r>
              <w:rPr>
                <w:rFonts w:ascii="宋体" w:hAnsi="宋体"/>
                <w:b/>
                <w:kern w:val="0"/>
                <w:szCs w:val="21"/>
              </w:rPr>
              <w:t xml:space="preserve">  </w:t>
            </w:r>
            <w:r>
              <w:rPr>
                <w:rFonts w:hint="eastAsia" w:ascii="宋体" w:hAnsi="宋体"/>
                <w:b/>
                <w:kern w:val="0"/>
                <w:szCs w:val="21"/>
              </w:rPr>
              <w:t>列</w:t>
            </w:r>
            <w:r>
              <w:rPr>
                <w:rFonts w:ascii="宋体" w:hAnsi="宋体"/>
                <w:b/>
                <w:kern w:val="0"/>
                <w:szCs w:val="21"/>
              </w:rPr>
              <w:t xml:space="preserve">  </w:t>
            </w:r>
            <w:r>
              <w:rPr>
                <w:rFonts w:hint="eastAsia" w:ascii="宋体" w:hAnsi="宋体"/>
                <w:b/>
                <w:kern w:val="0"/>
                <w:szCs w:val="21"/>
              </w:rPr>
              <w:t>内</w:t>
            </w:r>
            <w:r>
              <w:rPr>
                <w:rFonts w:ascii="宋体" w:hAnsi="宋体"/>
                <w:b/>
                <w:kern w:val="0"/>
                <w:szCs w:val="21"/>
              </w:rPr>
              <w:t xml:space="preserve">  </w:t>
            </w:r>
            <w:r>
              <w:rPr>
                <w:rFonts w:hint="eastAsia" w:ascii="宋体" w:hAnsi="宋体"/>
                <w:b/>
                <w:kern w:val="0"/>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1.1.</w:t>
            </w:r>
            <w:r>
              <w:rPr>
                <w:rFonts w:hint="eastAsia" w:ascii="宋体" w:hAnsi="宋体"/>
                <w:kern w:val="0"/>
                <w:szCs w:val="21"/>
              </w:rPr>
              <w:t>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招标人</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4697"/>
              </w:tabs>
              <w:snapToGrid w:val="0"/>
              <w:spacing w:line="360" w:lineRule="auto"/>
              <w:jc w:val="left"/>
              <w:rPr>
                <w:rFonts w:ascii="宋体" w:hAnsi="宋体"/>
                <w:szCs w:val="21"/>
              </w:rPr>
            </w:pPr>
            <w:r>
              <w:rPr>
                <w:rFonts w:hint="eastAsia" w:ascii="宋体" w:hAnsi="宋体"/>
                <w:szCs w:val="21"/>
              </w:rPr>
              <w:t>招标人：重庆市立信职业教育中心</w:t>
            </w:r>
          </w:p>
          <w:p>
            <w:pPr>
              <w:tabs>
                <w:tab w:val="left" w:pos="4697"/>
              </w:tabs>
              <w:snapToGrid w:val="0"/>
              <w:spacing w:line="360" w:lineRule="auto"/>
              <w:jc w:val="left"/>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bookmarkStart w:id="27" w:name="_Hlk91579160"/>
            <w:r>
              <w:rPr>
                <w:rFonts w:hint="eastAsia" w:ascii="宋体" w:hAnsi="宋体"/>
                <w:szCs w:val="21"/>
              </w:rPr>
              <w:t>重庆市沙坪坝区歌乐山会车场1</w:t>
            </w:r>
            <w:r>
              <w:rPr>
                <w:rFonts w:ascii="宋体" w:hAnsi="宋体"/>
                <w:szCs w:val="21"/>
              </w:rPr>
              <w:t>19号</w:t>
            </w:r>
            <w:bookmarkEnd w:id="27"/>
          </w:p>
          <w:p>
            <w:pPr>
              <w:tabs>
                <w:tab w:val="left" w:pos="4697"/>
              </w:tabs>
              <w:snapToGrid w:val="0"/>
              <w:spacing w:line="360" w:lineRule="auto"/>
              <w:jc w:val="left"/>
              <w:rPr>
                <w:rFonts w:hint="eastAsia" w:ascii="宋体" w:hAnsi="宋体" w:eastAsia="宋体"/>
                <w:szCs w:val="21"/>
                <w:lang w:val="en-US" w:eastAsia="zh-CN"/>
              </w:rPr>
            </w:pPr>
            <w:r>
              <w:rPr>
                <w:rFonts w:hint="eastAsia" w:ascii="宋体" w:hAnsi="宋体"/>
                <w:szCs w:val="21"/>
              </w:rPr>
              <w:t>联系人：</w:t>
            </w:r>
            <w:r>
              <w:rPr>
                <w:rFonts w:hint="eastAsia" w:ascii="宋体" w:hAnsi="宋体"/>
                <w:szCs w:val="21"/>
                <w:lang w:eastAsia="zh-CN"/>
              </w:rPr>
              <w:t>潘洪英</w:t>
            </w:r>
          </w:p>
          <w:p>
            <w:pPr>
              <w:tabs>
                <w:tab w:val="left" w:pos="4697"/>
              </w:tabs>
              <w:snapToGrid w:val="0"/>
              <w:spacing w:line="360" w:lineRule="auto"/>
              <w:jc w:val="left"/>
              <w:rPr>
                <w:rFonts w:ascii="宋体" w:hAnsi="宋体"/>
                <w:kern w:val="0"/>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宋体" w:hAnsi="宋体"/>
                <w:lang w:val="en-US" w:eastAsia="zh-CN"/>
              </w:rPr>
              <w:t>13452395852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1.1.</w:t>
            </w:r>
            <w:r>
              <w:rPr>
                <w:rFonts w:hint="eastAsia" w:ascii="宋体" w:hAnsi="宋体"/>
                <w:kern w:val="0"/>
                <w:szCs w:val="21"/>
              </w:rPr>
              <w:t>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项目名称</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Cs w:val="21"/>
              </w:rPr>
            </w:pPr>
            <w:r>
              <w:rPr>
                <w:rFonts w:hint="eastAsia" w:ascii="宋体" w:hAnsi="宋体"/>
                <w:snapToGrid w:val="0"/>
                <w:kern w:val="0"/>
                <w:szCs w:val="21"/>
              </w:rPr>
              <w:t>重庆市立信职业教育中心2022年出版教材供应服务采购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1.1.</w:t>
            </w:r>
            <w:r>
              <w:rPr>
                <w:rFonts w:hint="eastAsia" w:ascii="宋体" w:hAnsi="宋体"/>
                <w:kern w:val="0"/>
                <w:szCs w:val="21"/>
              </w:rPr>
              <w:t>3</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服务地点</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napToGrid w:val="0"/>
                <w:kern w:val="0"/>
                <w:szCs w:val="21"/>
              </w:rPr>
            </w:pPr>
            <w:r>
              <w:rPr>
                <w:rFonts w:hint="eastAsia" w:ascii="宋体" w:hAnsi="宋体"/>
                <w:snapToGrid w:val="0"/>
                <w:kern w:val="0"/>
                <w:szCs w:val="21"/>
              </w:rPr>
              <w:t>重庆市立信职业教育中心</w:t>
            </w:r>
            <w:r>
              <w:rPr>
                <w:rFonts w:ascii="宋体" w:hAnsi="宋体"/>
                <w:snapToGrid w:val="0"/>
                <w:kern w:val="0"/>
                <w:szCs w:val="21"/>
              </w:rPr>
              <w:t>校内</w:t>
            </w:r>
            <w:r>
              <w:rPr>
                <w:rFonts w:hint="eastAsia" w:ascii="宋体" w:hAnsi="宋体"/>
                <w:snapToGrid w:val="0"/>
                <w:kern w:val="0"/>
                <w:szCs w:val="21"/>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资金来源</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Cs w:val="21"/>
              </w:rPr>
            </w:pPr>
            <w:r>
              <w:rPr>
                <w:rFonts w:hint="eastAsia" w:ascii="宋体" w:hAnsi="宋体"/>
                <w:kern w:val="0"/>
                <w:szCs w:val="21"/>
              </w:rPr>
              <w:t>业主</w:t>
            </w:r>
            <w:r>
              <w:rPr>
                <w:rFonts w:ascii="宋体" w:hAnsi="宋体"/>
                <w:kern w:val="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1.3.1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招标范围</w:t>
            </w:r>
          </w:p>
        </w:tc>
        <w:tc>
          <w:tcPr>
            <w:tcW w:w="6723" w:type="dxa"/>
            <w:tcBorders>
              <w:top w:val="single" w:color="auto" w:sz="4" w:space="0"/>
              <w:left w:val="single" w:color="auto" w:sz="4" w:space="0"/>
              <w:bottom w:val="single" w:color="auto" w:sz="4" w:space="0"/>
              <w:right w:val="single" w:color="auto" w:sz="4" w:space="0"/>
            </w:tcBorders>
            <w:vAlign w:val="center"/>
          </w:tcPr>
          <w:p>
            <w:pPr>
              <w:pStyle w:val="133"/>
              <w:adjustRightInd w:val="0"/>
              <w:snapToGrid w:val="0"/>
              <w:spacing w:line="360" w:lineRule="auto"/>
              <w:jc w:val="left"/>
              <w:rPr>
                <w:rFonts w:ascii="宋体" w:hAnsi="宋体"/>
                <w:snapToGrid w:val="0"/>
              </w:rPr>
            </w:pPr>
            <w:r>
              <w:rPr>
                <w:rFonts w:hint="eastAsia" w:ascii="宋体" w:hAnsi="宋体"/>
              </w:rPr>
              <w:t>重庆市立信职业教育中心</w:t>
            </w:r>
            <w:r>
              <w:rPr>
                <w:rFonts w:ascii="宋体" w:hAnsi="宋体"/>
              </w:rPr>
              <w:t>2022年</w:t>
            </w:r>
            <w:r>
              <w:rPr>
                <w:rFonts w:hint="eastAsia" w:ascii="宋体" w:hAnsi="宋体"/>
              </w:rPr>
              <w:t>出版教材供应服务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1.3.2</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服务期</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szCs w:val="21"/>
              </w:rPr>
            </w:pPr>
            <w:r>
              <w:rPr>
                <w:rFonts w:ascii="宋体" w:hAnsi="宋体"/>
                <w:szCs w:val="21"/>
              </w:rPr>
              <w:t>2022年</w:t>
            </w:r>
            <w:r>
              <w:rPr>
                <w:rFonts w:hint="eastAsia" w:ascii="宋体" w:hAnsi="宋体"/>
                <w:szCs w:val="21"/>
              </w:rPr>
              <w:t>1月-</w:t>
            </w:r>
            <w:r>
              <w:rPr>
                <w:rFonts w:ascii="宋体" w:hAnsi="宋体"/>
                <w:szCs w:val="21"/>
              </w:rPr>
              <w:t>2022</w:t>
            </w:r>
            <w:r>
              <w:rPr>
                <w:rFonts w:hint="eastAsia" w:ascii="宋体" w:hAnsi="宋体"/>
                <w:szCs w:val="21"/>
              </w:rPr>
              <w:t>年1</w:t>
            </w:r>
            <w:r>
              <w:rPr>
                <w:rFonts w:ascii="宋体" w:hAnsi="宋体"/>
                <w:szCs w:val="21"/>
              </w:rPr>
              <w:t>2</w:t>
            </w:r>
            <w:r>
              <w:rPr>
                <w:rFonts w:hint="eastAsia" w:ascii="宋体" w:hAnsi="宋体"/>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1.3.3</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质量保证及售后服务</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kern w:val="0"/>
                <w:szCs w:val="21"/>
              </w:rPr>
            </w:pPr>
            <w:r>
              <w:rPr>
                <w:rFonts w:ascii="宋体" w:hAnsi="宋体"/>
                <w:kern w:val="0"/>
                <w:szCs w:val="21"/>
              </w:rPr>
              <w:t>1、投标产品质量保证期3个月。</w:t>
            </w:r>
          </w:p>
          <w:p>
            <w:pPr>
              <w:snapToGrid w:val="0"/>
              <w:spacing w:line="360" w:lineRule="auto"/>
              <w:rPr>
                <w:rFonts w:ascii="宋体" w:hAnsi="宋体"/>
                <w:kern w:val="0"/>
                <w:szCs w:val="21"/>
              </w:rPr>
            </w:pPr>
            <w:r>
              <w:rPr>
                <w:rFonts w:ascii="宋体" w:hAnsi="宋体"/>
                <w:kern w:val="0"/>
                <w:szCs w:val="21"/>
              </w:rPr>
              <w:t>2、投标产品属于国家规定“三包”范围的，其产品质量保证期不得低于“三包”规定。</w:t>
            </w:r>
          </w:p>
          <w:p>
            <w:pPr>
              <w:snapToGrid w:val="0"/>
              <w:spacing w:line="360" w:lineRule="auto"/>
              <w:rPr>
                <w:rFonts w:ascii="宋体" w:hAnsi="宋体"/>
                <w:kern w:val="0"/>
                <w:szCs w:val="21"/>
              </w:rPr>
            </w:pPr>
            <w:r>
              <w:rPr>
                <w:rFonts w:ascii="宋体" w:hAnsi="宋体"/>
                <w:kern w:val="0"/>
                <w:szCs w:val="21"/>
              </w:rPr>
              <w:t>3、投标人的质量保证期承诺优于国家“三包”规定的，</w:t>
            </w:r>
            <w:r>
              <w:rPr>
                <w:rFonts w:hint="eastAsia" w:ascii="宋体" w:hAnsi="宋体"/>
                <w:kern w:val="0"/>
                <w:szCs w:val="21"/>
              </w:rPr>
              <w:t>按中标人实际承诺执行。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1.4.1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投标人资质条件、能力和信誉</w:t>
            </w:r>
          </w:p>
        </w:tc>
        <w:tc>
          <w:tcPr>
            <w:tcW w:w="67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本项目招标实行资格后审，</w:t>
            </w:r>
            <w:r>
              <w:rPr>
                <w:rFonts w:hint="eastAsia" w:ascii="宋体" w:hAnsi="宋体"/>
                <w:kern w:val="0"/>
                <w:szCs w:val="21"/>
              </w:rPr>
              <w:t>投标</w:t>
            </w:r>
            <w:r>
              <w:rPr>
                <w:rFonts w:hint="eastAsia" w:ascii="宋体" w:hAnsi="宋体"/>
                <w:spacing w:val="-1"/>
                <w:kern w:val="0"/>
                <w:szCs w:val="21"/>
              </w:rPr>
              <w:t>人</w:t>
            </w:r>
            <w:r>
              <w:rPr>
                <w:rFonts w:hint="eastAsia" w:ascii="宋体" w:hAnsi="宋体"/>
                <w:kern w:val="0"/>
                <w:szCs w:val="21"/>
              </w:rPr>
              <w:t>应具备以下资格条件：</w:t>
            </w:r>
          </w:p>
          <w:p>
            <w:pPr>
              <w:spacing w:line="360" w:lineRule="auto"/>
              <w:rPr>
                <w:rFonts w:ascii="宋体" w:hAnsi="宋体"/>
                <w:szCs w:val="21"/>
              </w:rPr>
            </w:pPr>
            <w:r>
              <w:rPr>
                <w:rFonts w:ascii="宋体" w:hAnsi="宋体"/>
                <w:szCs w:val="21"/>
              </w:rPr>
              <w:t>1、资格</w:t>
            </w:r>
            <w:r>
              <w:rPr>
                <w:rFonts w:hint="eastAsia" w:ascii="宋体" w:hAnsi="宋体"/>
                <w:szCs w:val="21"/>
              </w:rPr>
              <w:t>要</w:t>
            </w:r>
            <w:r>
              <w:rPr>
                <w:rFonts w:ascii="宋体" w:hAnsi="宋体"/>
                <w:szCs w:val="21"/>
              </w:rPr>
              <w:t>求：</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1）具有独立承担民事责任的能力；</w:t>
            </w:r>
            <w:r>
              <w:rPr>
                <w:rFonts w:hint="eastAsia" w:ascii="宋体" w:hAnsi="宋体"/>
                <w:szCs w:val="21"/>
              </w:rPr>
              <w:t>投标人需提供营业执照副本复印件。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2）具有良好的商业信誉和健全的财务会计制度；提供</w:t>
            </w:r>
            <w:r>
              <w:rPr>
                <w:rFonts w:hint="eastAsia" w:ascii="宋体" w:hAnsi="宋体"/>
                <w:szCs w:val="21"/>
              </w:rPr>
              <w:t>2020年度财务状况报告复印件（新成立或成立不满一年的无法提供财务状况报告（表）的，可提供银行出具的资信证明（提供复印件））。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3）具有履行合同所必需的设备和专业技术能力；</w:t>
            </w:r>
            <w:r>
              <w:rPr>
                <w:rFonts w:hint="eastAsia" w:ascii="宋体" w:hAnsi="宋体"/>
                <w:szCs w:val="21"/>
              </w:rPr>
              <w:t>投标人提供书面声明或相关证明材料。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4）有依法缴纳税收和社会保障资金的良好记录；提供</w:t>
            </w:r>
            <w:r>
              <w:rPr>
                <w:rFonts w:hint="eastAsia" w:ascii="宋体" w:hAnsi="宋体"/>
                <w:szCs w:val="21"/>
              </w:rPr>
              <w:t>社会保险缴纳证明材料。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5）参加政府采购活动近三年内，在经营活动中没有重大违法记录；</w:t>
            </w:r>
            <w:r>
              <w:rPr>
                <w:rFonts w:hint="eastAsia" w:ascii="宋体" w:hAnsi="宋体"/>
                <w:szCs w:val="21"/>
              </w:rPr>
              <w:t>投标人提供书面声明。</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6）提供省、自治区、直辖市人民政府出版行政主管部门核发的《出版物经营许可证》，具备图书批发经营范围。提供复印件。</w:t>
            </w:r>
          </w:p>
          <w:p>
            <w:pPr>
              <w:pStyle w:val="2"/>
              <w:adjustRightInd/>
              <w:spacing w:line="360" w:lineRule="auto"/>
              <w:ind w:left="0" w:right="0" w:firstLine="0" w:firstLineChars="0"/>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t>：以上证明材料</w:t>
            </w:r>
            <w:r>
              <w:rPr>
                <w:rFonts w:hint="eastAsia" w:ascii="宋体" w:hAnsi="宋体" w:eastAsia="宋体"/>
                <w:sz w:val="21"/>
                <w:szCs w:val="21"/>
              </w:rPr>
              <w:t>的</w:t>
            </w:r>
            <w:r>
              <w:rPr>
                <w:rFonts w:ascii="宋体" w:hAnsi="宋体" w:eastAsia="宋体"/>
                <w:sz w:val="21"/>
                <w:szCs w:val="21"/>
              </w:rPr>
              <w:t>复印件</w:t>
            </w:r>
            <w:r>
              <w:rPr>
                <w:rFonts w:hint="eastAsia" w:ascii="宋体" w:hAnsi="宋体" w:eastAsia="宋体"/>
                <w:sz w:val="21"/>
                <w:szCs w:val="21"/>
              </w:rPr>
              <w:t>加盖</w:t>
            </w:r>
            <w:r>
              <w:rPr>
                <w:rFonts w:ascii="宋体" w:hAnsi="宋体" w:eastAsia="宋体"/>
                <w:sz w:val="21"/>
                <w:szCs w:val="21"/>
              </w:rPr>
              <w:t>单位</w:t>
            </w:r>
            <w:r>
              <w:rPr>
                <w:rFonts w:hint="eastAsia" w:ascii="宋体" w:hAnsi="宋体" w:eastAsia="宋体"/>
                <w:sz w:val="21"/>
                <w:szCs w:val="21"/>
              </w:rPr>
              <w:t>公章。</w:t>
            </w:r>
          </w:p>
          <w:p>
            <w:pPr>
              <w:spacing w:line="360" w:lineRule="auto"/>
              <w:rPr>
                <w:rFonts w:ascii="宋体" w:hAnsi="宋体"/>
                <w:szCs w:val="21"/>
              </w:rPr>
            </w:pPr>
            <w:r>
              <w:rPr>
                <w:rFonts w:ascii="宋体" w:hAnsi="宋体"/>
                <w:szCs w:val="21"/>
              </w:rPr>
              <w:t>2.人员要求：</w:t>
            </w:r>
          </w:p>
          <w:p>
            <w:pPr>
              <w:spacing w:line="360" w:lineRule="auto"/>
              <w:ind w:firstLine="424" w:firstLineChars="202"/>
              <w:rPr>
                <w:rFonts w:ascii="宋体" w:hAnsi="宋体"/>
                <w:szCs w:val="21"/>
              </w:rPr>
            </w:pPr>
            <w:r>
              <w:rPr>
                <w:rFonts w:hint="eastAsia" w:ascii="宋体" w:hAnsi="宋体"/>
                <w:szCs w:val="21"/>
              </w:rPr>
              <w:t>承诺在重庆市立信职业教育中心行课期间安排不少于</w:t>
            </w:r>
            <w:r>
              <w:rPr>
                <w:rFonts w:ascii="宋体" w:hAnsi="宋体"/>
                <w:szCs w:val="21"/>
              </w:rPr>
              <w:t>2名的专职人员在该校教材销售服务点工作（须是公司正式员工，其中库管和销售各1名），为全校师生提供教材服务和日常管理（需提供承诺书，人员名单及</w:t>
            </w:r>
            <w:r>
              <w:rPr>
                <w:rFonts w:hint="eastAsia" w:ascii="宋体" w:hAnsi="宋体"/>
                <w:szCs w:val="21"/>
              </w:rPr>
              <w:t>2021年9月-</w:t>
            </w:r>
            <w:r>
              <w:rPr>
                <w:rFonts w:ascii="宋体" w:hAnsi="宋体"/>
                <w:szCs w:val="21"/>
              </w:rPr>
              <w:t>11</w:t>
            </w:r>
            <w:r>
              <w:rPr>
                <w:rFonts w:hint="eastAsia" w:ascii="宋体" w:hAnsi="宋体"/>
                <w:szCs w:val="21"/>
              </w:rPr>
              <w:t>月的社保证明材料</w:t>
            </w:r>
            <w:r>
              <w:rPr>
                <w:rFonts w:ascii="宋体" w:hAnsi="宋体"/>
                <w:szCs w:val="21"/>
              </w:rPr>
              <w:t>）。</w:t>
            </w:r>
          </w:p>
          <w:p>
            <w:pPr>
              <w:pStyle w:val="2"/>
              <w:adjustRightInd/>
              <w:spacing w:line="360" w:lineRule="auto"/>
              <w:ind w:left="0" w:right="0" w:firstLine="420" w:firstLineChars="200"/>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t>：承诺书（格式自拟）。</w:t>
            </w:r>
          </w:p>
          <w:p>
            <w:pPr>
              <w:adjustRightInd w:val="0"/>
              <w:snapToGrid w:val="0"/>
              <w:spacing w:line="360" w:lineRule="auto"/>
              <w:rPr>
                <w:rFonts w:ascii="宋体" w:hAnsi="宋体"/>
                <w:szCs w:val="21"/>
              </w:rPr>
            </w:pPr>
            <w:r>
              <w:rPr>
                <w:rFonts w:ascii="宋体" w:hAnsi="宋体"/>
                <w:szCs w:val="21"/>
              </w:rPr>
              <w:t>3.信誉要求</w:t>
            </w:r>
          </w:p>
          <w:p>
            <w:pPr>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1）被本市有关行政部门暂停本市（处罚行政区域内）投标资格，不得参与投标，未被暂停本市（处罚行政区域内）投标资格的应提供未处于本市（处罚行政区域内）暂停投标资格行政处罚的真实性承诺。</w:t>
            </w:r>
          </w:p>
          <w:p>
            <w:pPr>
              <w:snapToGrid w:val="0"/>
              <w:spacing w:line="360" w:lineRule="auto"/>
              <w:ind w:firstLine="420" w:firstLineChars="200"/>
              <w:rPr>
                <w:rFonts w:ascii="宋体" w:hAnsi="宋体"/>
                <w:szCs w:val="21"/>
              </w:rPr>
            </w:pPr>
            <w:r>
              <w:rPr>
                <w:rFonts w:hint="eastAsia" w:ascii="宋体" w:hAnsi="宋体"/>
                <w:szCs w:val="21"/>
              </w:rPr>
              <w:t>注：（由投标人自行承诺并加盖投标单位公章，承诺书格式自拟）</w:t>
            </w:r>
          </w:p>
          <w:p>
            <w:pPr>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）被人民法院在“信用中国”网站（</w:t>
            </w:r>
            <w:r>
              <w:rPr>
                <w:rFonts w:ascii="宋体" w:hAnsi="宋体"/>
                <w:szCs w:val="21"/>
              </w:rPr>
              <w:t>www.creditchina.gov.cn）列入失信被执行人名单且在被执行期内</w:t>
            </w:r>
            <w:r>
              <w:rPr>
                <w:rFonts w:hint="eastAsia" w:ascii="宋体" w:hAnsi="宋体"/>
                <w:szCs w:val="21"/>
              </w:rPr>
              <w:t>，不得参与本项目投标，被列为失信被执行人参与投标的将作为否决投标处理。</w:t>
            </w:r>
          </w:p>
          <w:p>
            <w:pPr>
              <w:pStyle w:val="2"/>
              <w:adjustRightInd/>
              <w:spacing w:line="360" w:lineRule="auto"/>
              <w:ind w:left="0" w:right="0" w:firstLine="420" w:firstLineChars="200"/>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t>：</w:t>
            </w:r>
            <w:r>
              <w:rPr>
                <w:rFonts w:hint="eastAsia" w:ascii="宋体" w:hAnsi="宋体" w:eastAsia="宋体"/>
                <w:sz w:val="21"/>
                <w:szCs w:val="21"/>
              </w:rPr>
              <w:t>投标</w:t>
            </w:r>
            <w:r>
              <w:rPr>
                <w:rFonts w:ascii="宋体" w:hAnsi="宋体" w:eastAsia="宋体"/>
                <w:sz w:val="21"/>
                <w:szCs w:val="21"/>
              </w:rPr>
              <w:t>人须提供以上证明材料</w:t>
            </w:r>
            <w:r>
              <w:rPr>
                <w:rFonts w:hint="eastAsia" w:ascii="宋体" w:hAnsi="宋体" w:eastAsia="宋体"/>
                <w:sz w:val="21"/>
                <w:szCs w:val="21"/>
              </w:rPr>
              <w:t>并</w:t>
            </w:r>
            <w:r>
              <w:rPr>
                <w:rFonts w:ascii="宋体" w:hAnsi="宋体" w:eastAsia="宋体"/>
                <w:sz w:val="21"/>
                <w:szCs w:val="21"/>
              </w:rPr>
              <w:t>加盖单位公章，格式自拟。</w:t>
            </w:r>
          </w:p>
          <w:p>
            <w:pPr>
              <w:snapToGrid w:val="0"/>
              <w:spacing w:line="360" w:lineRule="auto"/>
              <w:ind w:firstLine="420" w:firstLineChars="200"/>
              <w:rPr>
                <w:rFonts w:ascii="宋体" w:hAnsi="宋体"/>
                <w:szCs w:val="21"/>
              </w:rPr>
            </w:pPr>
            <w:r>
              <w:rPr>
                <w:rFonts w:hint="eastAsia" w:ascii="宋体" w:hAnsi="宋体"/>
                <w:szCs w:val="21"/>
              </w:rPr>
              <w:t>（由投标人自行在“信用中国”网站（</w:t>
            </w:r>
            <w:r>
              <w:rPr>
                <w:rFonts w:ascii="宋体" w:hAnsi="宋体"/>
                <w:szCs w:val="21"/>
              </w:rPr>
              <w:t>www.creditchina.gov.cn）查询并提供相关查询截图加盖投标单位公章）</w:t>
            </w:r>
          </w:p>
          <w:p>
            <w:pPr>
              <w:snapToGrid w:val="0"/>
              <w:spacing w:line="360" w:lineRule="auto"/>
              <w:ind w:firstLine="525" w:firstLineChars="250"/>
              <w:rPr>
                <w:rFonts w:ascii="宋体" w:hAnsi="宋体"/>
                <w:szCs w:val="21"/>
              </w:rPr>
            </w:pPr>
            <w:r>
              <w:rPr>
                <w:rFonts w:hint="eastAsia" w:ascii="宋体" w:hAnsi="宋体"/>
                <w:szCs w:val="21"/>
              </w:rPr>
              <w:t>投标人须就以上资格情况真实性负责，招标人保留对其以上投标资格情况进行进一步核查的权利，如提供虚假材料，一经查实，应取消投标资格或中标资格，其投标保证金不予退还，同时须承担相关法律责任。</w:t>
            </w:r>
          </w:p>
          <w:p>
            <w:pPr>
              <w:spacing w:line="360" w:lineRule="auto"/>
              <w:ind w:firstLine="411" w:firstLineChars="196"/>
              <w:rPr>
                <w:rFonts w:ascii="宋体" w:hAnsi="宋体"/>
                <w:kern w:val="0"/>
                <w:szCs w:val="21"/>
              </w:rPr>
            </w:pPr>
            <w:r>
              <w:rPr>
                <w:rFonts w:hint="eastAsia" w:ascii="宋体" w:hAnsi="宋体"/>
                <w:szCs w:val="21"/>
              </w:rPr>
              <w:t>注：（1）</w:t>
            </w:r>
            <w:r>
              <w:rPr>
                <w:rFonts w:ascii="宋体" w:hAnsi="宋体"/>
                <w:szCs w:val="21"/>
              </w:rPr>
              <w:t>以上所有资料复印件或扫描件、截图必须加盖投标人单位公章，</w:t>
            </w:r>
            <w:r>
              <w:rPr>
                <w:rFonts w:hint="eastAsia" w:ascii="宋体" w:hAnsi="宋体"/>
                <w:kern w:val="0"/>
                <w:szCs w:val="21"/>
              </w:rPr>
              <w:t>原件资料备查。经查实复印件与原件不符，则其投标文件按否决投标处理。</w:t>
            </w:r>
          </w:p>
          <w:p>
            <w:pPr>
              <w:spacing w:line="360" w:lineRule="auto"/>
              <w:ind w:firstLine="411" w:firstLineChars="196"/>
              <w:rPr>
                <w:rFonts w:ascii="宋体" w:hAnsi="宋体"/>
                <w:szCs w:val="21"/>
              </w:rPr>
            </w:pPr>
            <w:r>
              <w:rPr>
                <w:rFonts w:hint="eastAsia" w:ascii="宋体" w:hAnsi="宋体"/>
                <w:szCs w:val="21"/>
              </w:rPr>
              <w:t>（2）</w:t>
            </w:r>
            <w:r>
              <w:rPr>
                <w:rFonts w:ascii="宋体" w:hAnsi="宋体"/>
                <w:szCs w:val="21"/>
              </w:rPr>
              <w:t>招标人保留对资格审查合格单位提供的资格审查资料进行进一步查验的权利，如发现投标人弄虚作假，则招标人有权取消其中标资格或有权单方解除投融资合同，对招标人造成经济损失的，招标人将保留索赔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1.4.2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是否接受联合体投标</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4305"/>
                <w:tab w:val="left" w:pos="4640"/>
                <w:tab w:val="left" w:pos="7240"/>
              </w:tabs>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1.9.1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踏勘现场</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4305"/>
                <w:tab w:val="left" w:pos="4640"/>
                <w:tab w:val="left" w:pos="7240"/>
              </w:tabs>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kern w:val="0"/>
                <w:szCs w:val="21"/>
              </w:rPr>
              <w:t>招标人不组织踏勘现场，由投标人自行踏勘，招标人予以支持，由此产生的费用由投标人自行承担。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1.10.1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投标预备会</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4305"/>
                <w:tab w:val="left" w:pos="4640"/>
                <w:tab w:val="left" w:pos="7240"/>
              </w:tabs>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1.11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分包</w:t>
            </w:r>
          </w:p>
        </w:tc>
        <w:tc>
          <w:tcPr>
            <w:tcW w:w="67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4" w:firstLineChars="202"/>
              <w:jc w:val="left"/>
              <w:rPr>
                <w:rFonts w:ascii="宋体" w:hAnsi="宋体"/>
                <w:snapToGrid w:val="0"/>
                <w:kern w:val="0"/>
                <w:szCs w:val="21"/>
              </w:rPr>
            </w:pPr>
            <w:r>
              <w:rPr>
                <w:rFonts w:hint="eastAsia" w:ascii="宋体" w:hAnsi="宋体"/>
                <w:szCs w:val="21"/>
              </w:rPr>
              <w:t>不允许运营服务转包或分包。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2.1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构成招标文件的其他材料</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4305"/>
                <w:tab w:val="left" w:pos="4640"/>
                <w:tab w:val="left" w:pos="7240"/>
              </w:tabs>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招标人发出的答疑及补遗书。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2.2.1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投标人要求澄清招标文件的截止时间</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4305"/>
                <w:tab w:val="left" w:pos="4640"/>
                <w:tab w:val="left" w:pos="7240"/>
              </w:tabs>
              <w:autoSpaceDE w:val="0"/>
              <w:autoSpaceDN w:val="0"/>
              <w:adjustRightInd w:val="0"/>
              <w:snapToGrid w:val="0"/>
              <w:spacing w:line="360" w:lineRule="auto"/>
              <w:ind w:firstLine="420" w:firstLineChars="200"/>
              <w:jc w:val="left"/>
              <w:rPr>
                <w:rFonts w:ascii="宋体" w:hAnsi="宋体"/>
                <w:szCs w:val="21"/>
              </w:rPr>
            </w:pPr>
            <w:r>
              <w:rPr>
                <w:rFonts w:ascii="宋体" w:hAnsi="宋体"/>
                <w:szCs w:val="21"/>
              </w:rPr>
              <w:t>投标人</w:t>
            </w:r>
            <w:r>
              <w:rPr>
                <w:rFonts w:hint="eastAsia" w:ascii="宋体" w:hAnsi="宋体"/>
                <w:szCs w:val="21"/>
              </w:rPr>
              <w:t>对</w:t>
            </w:r>
            <w:r>
              <w:rPr>
                <w:rFonts w:ascii="宋体" w:hAnsi="宋体"/>
                <w:szCs w:val="21"/>
              </w:rPr>
              <w:t>招标文件的内容残缺或文字表述不清，</w:t>
            </w:r>
            <w:r>
              <w:rPr>
                <w:rFonts w:hint="eastAsia" w:ascii="宋体" w:hAnsi="宋体"/>
                <w:szCs w:val="21"/>
              </w:rPr>
              <w:t>招标文件</w:t>
            </w:r>
            <w:r>
              <w:rPr>
                <w:rFonts w:ascii="宋体" w:hAnsi="宋体"/>
                <w:szCs w:val="21"/>
              </w:rPr>
              <w:t>标注不明以及存在错、碰、漏、缺、概念模糊和有可能出现歧义或理解上偏差等问题</w:t>
            </w:r>
            <w:r>
              <w:rPr>
                <w:rFonts w:hint="eastAsia" w:ascii="宋体" w:hAnsi="宋体"/>
                <w:szCs w:val="21"/>
              </w:rPr>
              <w:t>请在</w:t>
            </w:r>
            <w:r>
              <w:rPr>
                <w:rFonts w:ascii="宋体" w:hAnsi="宋体"/>
                <w:color w:val="FF0000"/>
                <w:szCs w:val="21"/>
              </w:rPr>
              <w:t>202</w:t>
            </w:r>
            <w:r>
              <w:rPr>
                <w:rFonts w:hint="eastAsia" w:ascii="宋体" w:hAnsi="宋体"/>
                <w:color w:val="FF0000"/>
                <w:szCs w:val="21"/>
                <w:lang w:val="en-US" w:eastAsia="zh-CN"/>
              </w:rPr>
              <w:t>2</w:t>
            </w:r>
            <w:r>
              <w:rPr>
                <w:rFonts w:hint="eastAsia" w:ascii="宋体" w:hAnsi="宋体"/>
                <w:color w:val="FF0000"/>
                <w:szCs w:val="21"/>
              </w:rPr>
              <w:t>年</w:t>
            </w:r>
            <w:r>
              <w:rPr>
                <w:rFonts w:ascii="宋体" w:hAnsi="宋体"/>
                <w:color w:val="FF0000"/>
                <w:szCs w:val="21"/>
                <w:u w:val="single"/>
              </w:rPr>
              <w:t xml:space="preserve">  </w:t>
            </w:r>
            <w:r>
              <w:rPr>
                <w:rFonts w:hint="eastAsia" w:ascii="宋体" w:hAnsi="宋体"/>
                <w:color w:val="FF0000"/>
                <w:szCs w:val="21"/>
                <w:u w:val="single"/>
                <w:lang w:val="en-US" w:eastAsia="zh-CN"/>
              </w:rPr>
              <w:t>1</w:t>
            </w:r>
            <w:r>
              <w:rPr>
                <w:rFonts w:ascii="宋体" w:hAnsi="宋体"/>
                <w:color w:val="FF0000"/>
                <w:szCs w:val="21"/>
                <w:u w:val="single"/>
              </w:rPr>
              <w:t xml:space="preserve">  </w:t>
            </w:r>
            <w:r>
              <w:rPr>
                <w:rFonts w:hint="eastAsia" w:ascii="宋体" w:hAnsi="宋体"/>
                <w:color w:val="FF0000"/>
                <w:szCs w:val="21"/>
              </w:rPr>
              <w:t>月</w:t>
            </w:r>
            <w:r>
              <w:rPr>
                <w:rFonts w:ascii="宋体" w:hAnsi="宋体"/>
                <w:color w:val="FF0000"/>
                <w:szCs w:val="21"/>
                <w:u w:val="single"/>
              </w:rPr>
              <w:t xml:space="preserve">  </w:t>
            </w:r>
            <w:r>
              <w:rPr>
                <w:rFonts w:hint="eastAsia" w:ascii="宋体" w:hAnsi="宋体"/>
                <w:color w:val="FF0000"/>
                <w:szCs w:val="21"/>
                <w:u w:val="single"/>
                <w:lang w:val="en-US" w:eastAsia="zh-CN"/>
              </w:rPr>
              <w:t>6</w:t>
            </w:r>
            <w:r>
              <w:rPr>
                <w:rFonts w:ascii="宋体" w:hAnsi="宋体"/>
                <w:color w:val="FF0000"/>
                <w:szCs w:val="21"/>
                <w:u w:val="single"/>
              </w:rPr>
              <w:t xml:space="preserve"> </w:t>
            </w:r>
            <w:r>
              <w:rPr>
                <w:rFonts w:hint="eastAsia" w:ascii="宋体" w:hAnsi="宋体"/>
                <w:color w:val="FF0000"/>
                <w:szCs w:val="21"/>
              </w:rPr>
              <w:t>日</w:t>
            </w:r>
            <w:r>
              <w:rPr>
                <w:rFonts w:ascii="宋体" w:hAnsi="宋体"/>
                <w:color w:val="FF0000"/>
                <w:szCs w:val="21"/>
                <w:u w:val="single"/>
              </w:rPr>
              <w:t>12</w:t>
            </w:r>
            <w:r>
              <w:rPr>
                <w:rFonts w:hint="eastAsia" w:ascii="宋体" w:hAnsi="宋体"/>
                <w:color w:val="FF0000"/>
                <w:szCs w:val="21"/>
                <w:u w:val="single"/>
              </w:rPr>
              <w:t>：</w:t>
            </w:r>
            <w:r>
              <w:rPr>
                <w:rFonts w:ascii="宋体" w:hAnsi="宋体"/>
                <w:color w:val="FF0000"/>
                <w:szCs w:val="21"/>
                <w:u w:val="single"/>
              </w:rPr>
              <w:t>00</w:t>
            </w:r>
            <w:r>
              <w:rPr>
                <w:rFonts w:hint="eastAsia" w:ascii="宋体" w:hAnsi="宋体"/>
                <w:color w:val="FF0000"/>
                <w:szCs w:val="21"/>
              </w:rPr>
              <w:t>时</w:t>
            </w:r>
            <w:r>
              <w:rPr>
                <w:rFonts w:hint="eastAsia" w:ascii="宋体" w:hAnsi="宋体"/>
                <w:szCs w:val="21"/>
              </w:rPr>
              <w:t>分前以书面</w:t>
            </w:r>
            <w:r>
              <w:rPr>
                <w:rFonts w:ascii="宋体" w:hAnsi="宋体"/>
                <w:szCs w:val="21"/>
              </w:rPr>
              <w:t>的</w:t>
            </w:r>
            <w:r>
              <w:rPr>
                <w:rFonts w:hint="eastAsia" w:ascii="宋体" w:hAnsi="宋体"/>
                <w:szCs w:val="21"/>
              </w:rPr>
              <w:t>形式</w:t>
            </w:r>
            <w:r>
              <w:rPr>
                <w:rFonts w:ascii="宋体" w:hAnsi="宋体"/>
                <w:szCs w:val="21"/>
              </w:rPr>
              <w:t>（</w:t>
            </w:r>
            <w:r>
              <w:rPr>
                <w:rFonts w:hint="eastAsia" w:ascii="宋体" w:hAnsi="宋体"/>
                <w:szCs w:val="21"/>
              </w:rPr>
              <w:t>手持</w:t>
            </w:r>
            <w:r>
              <w:rPr>
                <w:rFonts w:ascii="宋体" w:hAnsi="宋体"/>
                <w:szCs w:val="21"/>
              </w:rPr>
              <w:t>授权委托书原件）</w:t>
            </w:r>
            <w:r>
              <w:rPr>
                <w:rFonts w:hint="eastAsia" w:ascii="宋体" w:hAnsi="宋体"/>
                <w:szCs w:val="21"/>
              </w:rPr>
              <w:t>递交</w:t>
            </w:r>
            <w:r>
              <w:rPr>
                <w:rFonts w:ascii="宋体" w:hAnsi="宋体"/>
                <w:szCs w:val="21"/>
              </w:rPr>
              <w:t>至招标代理处。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2.2.2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招标人书面澄清的时间</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招标人将在</w:t>
            </w:r>
            <w:r>
              <w:rPr>
                <w:rFonts w:ascii="宋体" w:hAnsi="宋体"/>
                <w:color w:val="FF0000"/>
                <w:szCs w:val="21"/>
              </w:rPr>
              <w:t>202</w:t>
            </w:r>
            <w:r>
              <w:rPr>
                <w:rFonts w:hint="eastAsia" w:ascii="宋体" w:hAnsi="宋体"/>
                <w:color w:val="FF0000"/>
                <w:szCs w:val="21"/>
                <w:lang w:val="en-US" w:eastAsia="zh-CN"/>
              </w:rPr>
              <w:t>2</w:t>
            </w:r>
            <w:r>
              <w:rPr>
                <w:rFonts w:ascii="宋体" w:hAnsi="宋体"/>
                <w:color w:val="FF0000"/>
                <w:szCs w:val="21"/>
              </w:rPr>
              <w:t>年</w:t>
            </w:r>
            <w:r>
              <w:rPr>
                <w:rFonts w:ascii="宋体" w:hAnsi="宋体"/>
                <w:color w:val="FF0000"/>
                <w:szCs w:val="21"/>
                <w:u w:val="single"/>
              </w:rPr>
              <w:t xml:space="preserve"> </w:t>
            </w:r>
            <w:r>
              <w:rPr>
                <w:rFonts w:hint="eastAsia" w:ascii="宋体" w:hAnsi="宋体"/>
                <w:color w:val="FF0000"/>
                <w:szCs w:val="21"/>
                <w:u w:val="single"/>
                <w:lang w:val="en-US" w:eastAsia="zh-CN"/>
              </w:rPr>
              <w:t>1</w:t>
            </w:r>
            <w:r>
              <w:rPr>
                <w:rFonts w:ascii="宋体" w:hAnsi="宋体"/>
                <w:color w:val="FF0000"/>
                <w:szCs w:val="21"/>
                <w:u w:val="single"/>
              </w:rPr>
              <w:t xml:space="preserve">  </w:t>
            </w:r>
            <w:r>
              <w:rPr>
                <w:rFonts w:ascii="宋体" w:hAnsi="宋体"/>
                <w:color w:val="FF0000"/>
                <w:szCs w:val="21"/>
              </w:rPr>
              <w:t>月</w:t>
            </w:r>
            <w:r>
              <w:rPr>
                <w:rFonts w:ascii="宋体" w:hAnsi="宋体"/>
                <w:color w:val="FF0000"/>
                <w:szCs w:val="21"/>
                <w:u w:val="single"/>
              </w:rPr>
              <w:t xml:space="preserve"> </w:t>
            </w:r>
            <w:r>
              <w:rPr>
                <w:rFonts w:hint="eastAsia" w:ascii="宋体" w:hAnsi="宋体"/>
                <w:color w:val="FF0000"/>
                <w:szCs w:val="21"/>
                <w:u w:val="single"/>
                <w:lang w:val="en-US" w:eastAsia="zh-CN"/>
              </w:rPr>
              <w:t>6</w:t>
            </w:r>
            <w:r>
              <w:rPr>
                <w:rFonts w:ascii="宋体" w:hAnsi="宋体"/>
                <w:color w:val="FF0000"/>
                <w:szCs w:val="21"/>
                <w:u w:val="single"/>
              </w:rPr>
              <w:t xml:space="preserve">  </w:t>
            </w:r>
            <w:r>
              <w:rPr>
                <w:rFonts w:ascii="宋体" w:hAnsi="宋体"/>
                <w:color w:val="FF0000"/>
                <w:szCs w:val="21"/>
              </w:rPr>
              <w:t>日</w:t>
            </w:r>
            <w:r>
              <w:rPr>
                <w:rFonts w:ascii="宋体" w:hAnsi="宋体"/>
                <w:color w:val="FF0000"/>
                <w:szCs w:val="21"/>
                <w:u w:val="single"/>
              </w:rPr>
              <w:t>17:00</w:t>
            </w:r>
            <w:r>
              <w:rPr>
                <w:rFonts w:ascii="宋体" w:hAnsi="宋体"/>
                <w:color w:val="FF0000"/>
                <w:szCs w:val="21"/>
              </w:rPr>
              <w:t>时</w:t>
            </w:r>
            <w:r>
              <w:rPr>
                <w:rFonts w:ascii="宋体" w:hAnsi="宋体"/>
                <w:szCs w:val="21"/>
              </w:rPr>
              <w:t>之前，通过</w:t>
            </w:r>
            <w:r>
              <w:rPr>
                <w:rFonts w:hint="eastAsia" w:ascii="宋体" w:hAnsi="宋体"/>
                <w:szCs w:val="21"/>
              </w:rPr>
              <w:t>邮件</w:t>
            </w:r>
            <w:r>
              <w:rPr>
                <w:rFonts w:ascii="宋体" w:hAnsi="宋体"/>
                <w:szCs w:val="21"/>
              </w:rPr>
              <w:t>的方式通知投标人，无论投标人是否</w:t>
            </w:r>
            <w:r>
              <w:rPr>
                <w:rFonts w:hint="eastAsia" w:ascii="宋体" w:hAnsi="宋体"/>
                <w:szCs w:val="21"/>
              </w:rPr>
              <w:t>浏览</w:t>
            </w:r>
            <w:r>
              <w:rPr>
                <w:rFonts w:ascii="宋体" w:hAnsi="宋体"/>
                <w:szCs w:val="21"/>
              </w:rPr>
              <w:t>有关本项目招标的</w:t>
            </w:r>
            <w:r>
              <w:rPr>
                <w:rFonts w:hint="eastAsia" w:ascii="宋体" w:hAnsi="宋体"/>
                <w:szCs w:val="21"/>
              </w:rPr>
              <w:t>答疑及补遗</w:t>
            </w:r>
            <w:r>
              <w:rPr>
                <w:rFonts w:ascii="宋体" w:hAnsi="宋体"/>
                <w:szCs w:val="21"/>
              </w:rPr>
              <w:t>信息，均视为投标人已知悉有关本项目招标的的</w:t>
            </w:r>
            <w:r>
              <w:rPr>
                <w:rFonts w:hint="eastAsia" w:ascii="宋体" w:hAnsi="宋体"/>
                <w:szCs w:val="21"/>
              </w:rPr>
              <w:t>答疑及补遗</w:t>
            </w:r>
            <w:r>
              <w:rPr>
                <w:rFonts w:ascii="宋体" w:hAnsi="宋体"/>
                <w:szCs w:val="21"/>
              </w:rPr>
              <w:t>全部信息</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ascii="宋体" w:hAnsi="宋体"/>
                <w:kern w:val="0"/>
                <w:szCs w:val="21"/>
              </w:rPr>
            </w:pPr>
            <w:r>
              <w:rPr>
                <w:rFonts w:ascii="宋体" w:hAnsi="宋体"/>
                <w:kern w:val="0"/>
                <w:szCs w:val="21"/>
              </w:rPr>
              <w:t>3.1</w:t>
            </w:r>
          </w:p>
        </w:tc>
        <w:tc>
          <w:tcPr>
            <w:tcW w:w="1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投标文件的</w:t>
            </w:r>
          </w:p>
          <w:p>
            <w:pPr>
              <w:spacing w:line="360" w:lineRule="auto"/>
              <w:jc w:val="center"/>
              <w:rPr>
                <w:rFonts w:ascii="宋体" w:hAnsi="宋体"/>
                <w:kern w:val="0"/>
                <w:szCs w:val="21"/>
              </w:rPr>
            </w:pPr>
            <w:r>
              <w:rPr>
                <w:rFonts w:hint="eastAsia" w:ascii="宋体" w:hAnsi="宋体"/>
                <w:szCs w:val="21"/>
              </w:rPr>
              <w:t>组成</w:t>
            </w:r>
          </w:p>
        </w:tc>
        <w:tc>
          <w:tcPr>
            <w:tcW w:w="67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20" w:firstLineChars="200"/>
              <w:rPr>
                <w:rFonts w:ascii="宋体" w:hAnsi="宋体"/>
                <w:szCs w:val="21"/>
                <w:u w:val="single"/>
              </w:rPr>
            </w:pPr>
            <w:r>
              <w:rPr>
                <w:rFonts w:hint="eastAsia" w:ascii="宋体" w:hAnsi="宋体"/>
                <w:kern w:val="0"/>
                <w:szCs w:val="21"/>
              </w:rPr>
              <w:t>投标文件由投标函部分、</w:t>
            </w:r>
            <w:r>
              <w:rPr>
                <w:rFonts w:hint="eastAsia" w:ascii="宋体" w:hAnsi="宋体"/>
                <w:szCs w:val="21"/>
              </w:rPr>
              <w:t>资格审查资料（含商务部分）</w:t>
            </w:r>
            <w:r>
              <w:rPr>
                <w:rFonts w:hint="eastAsia" w:ascii="宋体" w:hAnsi="宋体"/>
                <w:kern w:val="0"/>
                <w:szCs w:val="21"/>
              </w:rPr>
              <w:t>、电子文件（光盘或</w:t>
            </w:r>
            <w:r>
              <w:rPr>
                <w:rFonts w:ascii="宋体" w:hAnsi="宋体"/>
                <w:kern w:val="0"/>
                <w:szCs w:val="21"/>
              </w:rPr>
              <w:t>U</w:t>
            </w:r>
            <w:r>
              <w:rPr>
                <w:rFonts w:hint="eastAsia" w:ascii="宋体" w:hAnsi="宋体"/>
                <w:kern w:val="0"/>
                <w:szCs w:val="21"/>
              </w:rPr>
              <w:t>盘均可</w:t>
            </w:r>
            <w:r>
              <w:rPr>
                <w:rFonts w:ascii="宋体" w:hAnsi="宋体"/>
                <w:kern w:val="0"/>
                <w:szCs w:val="21"/>
              </w:rPr>
              <w:t>）</w:t>
            </w:r>
            <w:r>
              <w:rPr>
                <w:rFonts w:hint="eastAsia" w:ascii="宋体" w:hAnsi="宋体"/>
                <w:kern w:val="0"/>
                <w:szCs w:val="21"/>
              </w:rPr>
              <w:t>等三部分组成。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3.1.1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构成投标文件的其他材料</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42" w:firstLineChars="163"/>
              <w:rPr>
                <w:rFonts w:ascii="宋体" w:hAnsi="宋体"/>
                <w:szCs w:val="21"/>
              </w:rPr>
            </w:pPr>
            <w:r>
              <w:rPr>
                <w:rFonts w:hint="eastAsia" w:ascii="宋体" w:hAnsi="宋体"/>
                <w:kern w:val="0"/>
                <w:szCs w:val="21"/>
              </w:rPr>
              <w:t>招标文件规定的和投标人认为应该提供的所有材料。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投标报价</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ascii="宋体" w:hAnsi="宋体"/>
                <w:szCs w:val="21"/>
              </w:rPr>
              <w:t>1.本次报价为人民币（折扣率）报价，包含：货物费、运输费、服务费等所有费用，</w:t>
            </w:r>
            <w:r>
              <w:rPr>
                <w:rFonts w:hint="eastAsia" w:ascii="宋体" w:hAnsi="宋体"/>
                <w:szCs w:val="21"/>
              </w:rPr>
              <w:t>招标人按人民币</w:t>
            </w:r>
            <w:r>
              <w:rPr>
                <w:rFonts w:hint="eastAsia" w:ascii="宋体" w:hAnsi="宋体"/>
                <w:color w:val="FF0000"/>
                <w:szCs w:val="21"/>
                <w:u w:val="single"/>
              </w:rPr>
              <w:t xml:space="preserve"> </w:t>
            </w:r>
            <w:r>
              <w:rPr>
                <w:rFonts w:hint="eastAsia" w:ascii="宋体" w:hAnsi="宋体"/>
                <w:color w:val="FF0000"/>
                <w:szCs w:val="21"/>
                <w:u w:val="single"/>
                <w:lang w:val="en-US" w:eastAsia="zh-CN"/>
              </w:rPr>
              <w:t>18</w:t>
            </w:r>
            <w:r>
              <w:rPr>
                <w:rFonts w:hint="eastAsia" w:ascii="宋体" w:hAnsi="宋体"/>
                <w:color w:val="FF0000"/>
                <w:szCs w:val="21"/>
                <w:u w:val="single"/>
              </w:rPr>
              <w:t xml:space="preserve"> </w:t>
            </w:r>
            <w:r>
              <w:rPr>
                <w:rFonts w:hint="eastAsia" w:ascii="宋体" w:hAnsi="宋体"/>
                <w:color w:val="FF0000"/>
                <w:szCs w:val="21"/>
              </w:rPr>
              <w:t>万元/年</w:t>
            </w:r>
            <w:r>
              <w:rPr>
                <w:rFonts w:hint="eastAsia" w:ascii="宋体" w:hAnsi="宋体"/>
                <w:szCs w:val="21"/>
              </w:rPr>
              <w:t>的标准向中标人有偿提供200平方米（具体面积以现场勘查为准）经营服务场地，供中标人销售教材。此费用包含在投标总价中。</w:t>
            </w:r>
          </w:p>
          <w:p>
            <w:pPr>
              <w:spacing w:line="360" w:lineRule="auto"/>
              <w:ind w:firstLine="342" w:firstLineChars="163"/>
              <w:rPr>
                <w:rFonts w:ascii="宋体" w:hAnsi="宋体"/>
                <w:szCs w:val="21"/>
              </w:rPr>
            </w:pPr>
            <w:r>
              <w:rPr>
                <w:rFonts w:ascii="宋体" w:hAnsi="宋体"/>
                <w:szCs w:val="21"/>
              </w:rPr>
              <w:t>2.本项目</w:t>
            </w:r>
            <w:r>
              <w:rPr>
                <w:rFonts w:hint="eastAsia" w:ascii="宋体" w:hAnsi="宋体"/>
                <w:color w:val="FF0000"/>
                <w:szCs w:val="21"/>
              </w:rPr>
              <w:t>折扣率</w:t>
            </w:r>
            <w:r>
              <w:rPr>
                <w:rFonts w:ascii="宋体" w:hAnsi="宋体"/>
                <w:color w:val="FF0000"/>
                <w:szCs w:val="21"/>
              </w:rPr>
              <w:t>最高限价</w:t>
            </w:r>
            <w:r>
              <w:rPr>
                <w:rFonts w:hint="eastAsia" w:ascii="宋体" w:hAnsi="宋体"/>
                <w:color w:val="FF0000"/>
                <w:szCs w:val="21"/>
              </w:rPr>
              <w:t>为</w:t>
            </w:r>
            <w:r>
              <w:rPr>
                <w:rFonts w:ascii="宋体" w:hAnsi="宋体"/>
                <w:color w:val="FF0000"/>
                <w:szCs w:val="21"/>
                <w:u w:val="single"/>
              </w:rPr>
              <w:t xml:space="preserve"> 85 </w:t>
            </w:r>
            <w:r>
              <w:rPr>
                <w:rFonts w:hint="eastAsia" w:ascii="宋体" w:hAnsi="宋体"/>
                <w:color w:val="FF0000"/>
                <w:szCs w:val="21"/>
              </w:rPr>
              <w:t>%,</w:t>
            </w:r>
            <w:r>
              <w:rPr>
                <w:rFonts w:hint="eastAsia" w:ascii="宋体" w:hAnsi="宋体"/>
                <w:szCs w:val="21"/>
              </w:rPr>
              <w:t>投</w:t>
            </w:r>
            <w:r>
              <w:rPr>
                <w:rFonts w:hint="eastAsia" w:ascii="宋体" w:hAnsi="宋体"/>
                <w:b/>
                <w:szCs w:val="21"/>
              </w:rPr>
              <w:t>标人的折扣率不得超过招标人发布的最高限价，否则按否决投标处理。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3.3.1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投标有效期</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宋体" w:hAnsi="宋体"/>
                <w:szCs w:val="21"/>
              </w:rPr>
            </w:pPr>
            <w:r>
              <w:rPr>
                <w:rFonts w:ascii="宋体" w:hAnsi="宋体"/>
                <w:szCs w:val="21"/>
              </w:rPr>
              <w:t>90日历天（从提交投标文件截止日起计算）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3.4.1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投标保证金</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szCs w:val="21"/>
              </w:rPr>
            </w:pPr>
            <w:r>
              <w:rPr>
                <w:rFonts w:hint="eastAsia" w:ascii="宋体" w:hAnsi="宋体" w:cs="宋体"/>
                <w:b/>
                <w:kern w:val="0"/>
                <w:szCs w:val="21"/>
              </w:rPr>
              <w:t>投标保证金的交纳：</w:t>
            </w:r>
          </w:p>
          <w:p>
            <w:pPr>
              <w:spacing w:line="360" w:lineRule="auto"/>
              <w:rPr>
                <w:rFonts w:ascii="宋体" w:hAnsi="宋体" w:cs="宋体"/>
                <w:b/>
                <w:kern w:val="0"/>
                <w:szCs w:val="21"/>
              </w:rPr>
            </w:pPr>
            <w:r>
              <w:rPr>
                <w:rFonts w:hint="eastAsia" w:ascii="宋体" w:hAnsi="宋体" w:cs="宋体"/>
                <w:b/>
                <w:kern w:val="0"/>
                <w:szCs w:val="21"/>
              </w:rPr>
              <w:t>（</w:t>
            </w:r>
            <w:r>
              <w:rPr>
                <w:rFonts w:ascii="宋体" w:hAnsi="宋体" w:cs="宋体"/>
                <w:b/>
                <w:kern w:val="0"/>
                <w:szCs w:val="21"/>
              </w:rPr>
              <w:t>1）投标保证金金额：人民币</w:t>
            </w:r>
            <w:r>
              <w:rPr>
                <w:rFonts w:ascii="宋体" w:hAnsi="宋体" w:cs="宋体"/>
                <w:b/>
                <w:kern w:val="0"/>
                <w:szCs w:val="21"/>
                <w:u w:val="single"/>
              </w:rPr>
              <w:t>2</w:t>
            </w:r>
            <w:r>
              <w:rPr>
                <w:rFonts w:hint="eastAsia" w:ascii="宋体" w:hAnsi="宋体" w:cs="宋体"/>
                <w:b/>
                <w:kern w:val="0"/>
                <w:szCs w:val="21"/>
              </w:rPr>
              <w:t>万元（贰万元整）。</w:t>
            </w:r>
          </w:p>
          <w:p>
            <w:pPr>
              <w:pStyle w:val="21"/>
              <w:spacing w:line="360" w:lineRule="auto"/>
              <w:rPr>
                <w:rFonts w:ascii="宋体" w:hAnsi="宋体" w:eastAsia="宋体"/>
                <w:szCs w:val="21"/>
              </w:rPr>
            </w:pPr>
            <w:r>
              <w:rPr>
                <w:rFonts w:hint="eastAsia" w:ascii="宋体" w:hAnsi="宋体" w:cs="宋体"/>
                <w:b/>
                <w:kern w:val="0"/>
                <w:szCs w:val="21"/>
              </w:rPr>
              <w:t>（</w:t>
            </w:r>
            <w:r>
              <w:rPr>
                <w:rFonts w:ascii="宋体" w:hAnsi="宋体" w:cs="宋体"/>
                <w:b/>
                <w:kern w:val="0"/>
                <w:szCs w:val="21"/>
              </w:rPr>
              <w:t>2）在投标截止</w:t>
            </w:r>
            <w:r>
              <w:rPr>
                <w:rFonts w:hint="eastAsia" w:ascii="宋体" w:hAnsi="宋体" w:cs="宋体"/>
                <w:b/>
                <w:kern w:val="0"/>
                <w:szCs w:val="21"/>
              </w:rPr>
              <w:t>日</w:t>
            </w:r>
            <w:r>
              <w:rPr>
                <w:rFonts w:ascii="宋体" w:hAnsi="宋体" w:cs="宋体"/>
                <w:b/>
                <w:kern w:val="0"/>
                <w:szCs w:val="21"/>
              </w:rPr>
              <w:t>前1天下午17：00止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3.6</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是否允许递交备选投标方案</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szCs w:val="21"/>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3.7.3</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签字盖章要求</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szCs w:val="21"/>
              </w:rPr>
            </w:pPr>
            <w:r>
              <w:rPr>
                <w:rFonts w:hint="eastAsia" w:ascii="宋体" w:hAnsi="宋体"/>
                <w:szCs w:val="21"/>
              </w:rPr>
              <w:t>按本章投标人须知</w:t>
            </w:r>
            <w:r>
              <w:rPr>
                <w:rFonts w:ascii="宋体" w:hAnsi="宋体"/>
                <w:szCs w:val="21"/>
              </w:rPr>
              <w:t>3.7.3款执行。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3.7.4</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投标文件的</w:t>
            </w:r>
          </w:p>
          <w:p>
            <w:pPr>
              <w:snapToGrid w:val="0"/>
              <w:spacing w:line="360" w:lineRule="auto"/>
              <w:jc w:val="center"/>
              <w:rPr>
                <w:rFonts w:ascii="宋体" w:hAnsi="宋体"/>
                <w:kern w:val="0"/>
                <w:szCs w:val="21"/>
              </w:rPr>
            </w:pPr>
            <w:r>
              <w:rPr>
                <w:rFonts w:hint="eastAsia" w:ascii="宋体" w:hAnsi="宋体"/>
                <w:kern w:val="0"/>
                <w:szCs w:val="21"/>
              </w:rPr>
              <w:t>份数</w:t>
            </w:r>
          </w:p>
        </w:tc>
        <w:tc>
          <w:tcPr>
            <w:tcW w:w="67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jc w:val="left"/>
              <w:rPr>
                <w:rFonts w:ascii="宋体" w:hAnsi="宋体"/>
                <w:szCs w:val="21"/>
              </w:rPr>
            </w:pPr>
            <w:r>
              <w:rPr>
                <w:rFonts w:ascii="宋体" w:hAnsi="宋体"/>
                <w:szCs w:val="21"/>
              </w:rPr>
              <w:t>1.投标函部分一正二副；</w:t>
            </w:r>
          </w:p>
          <w:p>
            <w:pPr>
              <w:adjustRightInd w:val="0"/>
              <w:snapToGrid w:val="0"/>
              <w:spacing w:line="360" w:lineRule="auto"/>
              <w:ind w:firstLine="420" w:firstLineChars="200"/>
              <w:jc w:val="left"/>
              <w:rPr>
                <w:rFonts w:ascii="宋体" w:hAnsi="宋体"/>
                <w:szCs w:val="21"/>
              </w:rPr>
            </w:pPr>
            <w:r>
              <w:rPr>
                <w:rFonts w:ascii="宋体" w:hAnsi="宋体"/>
                <w:szCs w:val="21"/>
              </w:rPr>
              <w:t>2.资格审查资料（含商务部分）一正二副；</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注：</w:t>
            </w:r>
            <w:r>
              <w:rPr>
                <w:rFonts w:ascii="宋体" w:hAnsi="宋体"/>
                <w:szCs w:val="21"/>
              </w:rPr>
              <w:t>1、投标文件封面上标明“正本”和“副本”字样</w:t>
            </w:r>
            <w:r>
              <w:rPr>
                <w:rFonts w:hint="eastAsia" w:ascii="宋体" w:hAnsi="宋体"/>
                <w:szCs w:val="21"/>
              </w:rPr>
              <w:t>。当副本和正本不一致时，以正本为准。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3.7.5</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kern w:val="0"/>
                <w:szCs w:val="21"/>
              </w:rPr>
            </w:pPr>
            <w:r>
              <w:rPr>
                <w:rFonts w:ascii="宋体" w:hAnsi="宋体"/>
                <w:kern w:val="0"/>
                <w:szCs w:val="21"/>
              </w:rPr>
              <w:t xml:space="preserve">  装订要求</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szCs w:val="21"/>
              </w:rPr>
            </w:pPr>
            <w:r>
              <w:rPr>
                <w:rFonts w:hint="eastAsia" w:ascii="宋体" w:hAnsi="宋体"/>
                <w:szCs w:val="21"/>
              </w:rPr>
              <w:t>所有投标文件的装订，必须保证装订牢固，否则，招标人和招标代理机构对由于投标文件装订松散而造成的丢失或其他后果不承担任何责任。</w:t>
            </w:r>
          </w:p>
          <w:p>
            <w:pPr>
              <w:snapToGrid w:val="0"/>
              <w:spacing w:line="360" w:lineRule="auto"/>
              <w:ind w:firstLine="420" w:firstLineChars="200"/>
              <w:jc w:val="left"/>
              <w:rPr>
                <w:rFonts w:ascii="宋体" w:hAnsi="宋体"/>
                <w:szCs w:val="21"/>
              </w:rPr>
            </w:pPr>
            <w:r>
              <w:rPr>
                <w:rFonts w:ascii="宋体" w:hAnsi="宋体"/>
                <w:szCs w:val="21"/>
              </w:rPr>
              <w:t>1.本</w:t>
            </w:r>
            <w:r>
              <w:rPr>
                <w:rFonts w:hint="eastAsia" w:ascii="宋体" w:hAnsi="宋体"/>
                <w:szCs w:val="21"/>
              </w:rPr>
              <w:t>项目投标文件应将投标函部分、资格审查资料（含商务部分）各自分别装订成册。</w:t>
            </w:r>
          </w:p>
          <w:p>
            <w:pPr>
              <w:snapToGrid w:val="0"/>
              <w:spacing w:line="360" w:lineRule="auto"/>
              <w:ind w:firstLine="435"/>
              <w:jc w:val="left"/>
              <w:rPr>
                <w:rFonts w:ascii="宋体" w:hAnsi="宋体"/>
                <w:szCs w:val="21"/>
              </w:rPr>
            </w:pPr>
            <w:r>
              <w:rPr>
                <w:rFonts w:ascii="宋体" w:hAnsi="宋体"/>
                <w:szCs w:val="21"/>
              </w:rPr>
              <w:t>2.装订</w:t>
            </w:r>
          </w:p>
          <w:p>
            <w:pPr>
              <w:snapToGrid w:val="0"/>
              <w:spacing w:line="360" w:lineRule="auto"/>
              <w:ind w:firstLine="435"/>
              <w:jc w:val="left"/>
              <w:rPr>
                <w:rFonts w:ascii="宋体" w:hAnsi="宋体"/>
                <w:szCs w:val="21"/>
              </w:rPr>
            </w:pPr>
            <w:r>
              <w:rPr>
                <w:rFonts w:hint="eastAsia" w:ascii="宋体" w:hAnsi="宋体"/>
                <w:szCs w:val="21"/>
              </w:rPr>
              <w:t>（</w:t>
            </w:r>
            <w:r>
              <w:rPr>
                <w:rFonts w:ascii="宋体" w:hAnsi="宋体"/>
                <w:szCs w:val="21"/>
              </w:rPr>
              <w:t>1）投标函部分的装订要求</w:t>
            </w:r>
          </w:p>
          <w:p>
            <w:pPr>
              <w:snapToGrid w:val="0"/>
              <w:spacing w:line="360" w:lineRule="auto"/>
              <w:ind w:firstLine="420" w:firstLineChars="200"/>
              <w:jc w:val="left"/>
              <w:rPr>
                <w:rFonts w:ascii="宋体" w:hAnsi="宋体"/>
                <w:szCs w:val="21"/>
              </w:rPr>
            </w:pPr>
            <w:r>
              <w:rPr>
                <w:rFonts w:hint="eastAsia" w:ascii="宋体" w:hAnsi="宋体"/>
                <w:szCs w:val="21"/>
              </w:rPr>
              <w:t>应按照第六章规定格式装订成册，并应编制目录。</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2）资格审查资料（含商务部分）</w:t>
            </w:r>
          </w:p>
          <w:p>
            <w:pPr>
              <w:snapToGrid w:val="0"/>
              <w:spacing w:line="360" w:lineRule="auto"/>
              <w:ind w:firstLine="420" w:firstLineChars="200"/>
              <w:jc w:val="left"/>
              <w:rPr>
                <w:rFonts w:ascii="宋体" w:hAnsi="宋体"/>
                <w:szCs w:val="21"/>
              </w:rPr>
            </w:pPr>
            <w:r>
              <w:rPr>
                <w:rFonts w:hint="eastAsia" w:ascii="宋体" w:hAnsi="宋体"/>
                <w:szCs w:val="21"/>
              </w:rPr>
              <w:t>应按照第六章规定格式装订成册，并应编制目录。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4.1.1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投标文件的</w:t>
            </w:r>
          </w:p>
          <w:p>
            <w:pPr>
              <w:snapToGrid w:val="0"/>
              <w:spacing w:line="360" w:lineRule="auto"/>
              <w:jc w:val="center"/>
              <w:rPr>
                <w:rFonts w:ascii="宋体" w:hAnsi="宋体"/>
                <w:kern w:val="0"/>
                <w:szCs w:val="21"/>
              </w:rPr>
            </w:pPr>
            <w:r>
              <w:rPr>
                <w:rFonts w:hint="eastAsia" w:ascii="宋体" w:hAnsi="宋体"/>
                <w:kern w:val="0"/>
                <w:szCs w:val="21"/>
              </w:rPr>
              <w:t>密封</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35"/>
              <w:jc w:val="left"/>
              <w:rPr>
                <w:rFonts w:ascii="宋体" w:hAnsi="宋体"/>
                <w:szCs w:val="21"/>
              </w:rPr>
            </w:pPr>
            <w:r>
              <w:rPr>
                <w:rFonts w:ascii="宋体" w:hAnsi="宋体"/>
                <w:szCs w:val="21"/>
              </w:rPr>
              <w:t xml:space="preserve">1.投标文件袋使用 </w:t>
            </w:r>
            <w:r>
              <w:rPr>
                <w:rFonts w:hint="eastAsia" w:ascii="宋体" w:hAnsi="宋体"/>
                <w:szCs w:val="21"/>
              </w:rPr>
              <w:t>“投标函部分”袋、“资格审查资料（含商务部分）”袋以及“投标文件”大袋。</w:t>
            </w:r>
          </w:p>
          <w:p>
            <w:pPr>
              <w:snapToGrid w:val="0"/>
              <w:spacing w:line="360" w:lineRule="auto"/>
              <w:ind w:firstLine="435"/>
              <w:jc w:val="left"/>
              <w:rPr>
                <w:rFonts w:ascii="宋体" w:hAnsi="宋体"/>
                <w:szCs w:val="21"/>
              </w:rPr>
            </w:pPr>
            <w:r>
              <w:rPr>
                <w:rFonts w:ascii="宋体" w:hAnsi="宋体"/>
                <w:szCs w:val="21"/>
              </w:rPr>
              <w:t>2.投标函部分、光盘</w:t>
            </w:r>
            <w:r>
              <w:rPr>
                <w:rFonts w:hint="eastAsia" w:ascii="宋体" w:hAnsi="宋体"/>
                <w:szCs w:val="21"/>
              </w:rPr>
              <w:t>或</w:t>
            </w:r>
            <w:r>
              <w:rPr>
                <w:rFonts w:ascii="宋体" w:hAnsi="宋体"/>
                <w:szCs w:val="21"/>
              </w:rPr>
              <w:t>U</w:t>
            </w:r>
            <w:r>
              <w:rPr>
                <w:rFonts w:hint="eastAsia" w:ascii="宋体" w:hAnsi="宋体"/>
                <w:szCs w:val="21"/>
              </w:rPr>
              <w:t>盘装入“投标函部分”袋中，密封并在封口处加盖投标人单位公章。</w:t>
            </w:r>
          </w:p>
          <w:p>
            <w:pPr>
              <w:snapToGrid w:val="0"/>
              <w:spacing w:line="360" w:lineRule="auto"/>
              <w:ind w:firstLine="435"/>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投标函部分”、“</w:t>
            </w:r>
            <w:r>
              <w:rPr>
                <w:rFonts w:hint="eastAsia" w:ascii="宋体" w:hAnsi="宋体"/>
                <w:szCs w:val="21"/>
              </w:rPr>
              <w:t>资格审查资料（含商务部分）</w:t>
            </w:r>
            <w:r>
              <w:rPr>
                <w:rFonts w:ascii="宋体" w:hAnsi="宋体"/>
                <w:szCs w:val="21"/>
              </w:rPr>
              <w:t>”等小袋装入“投标文件”大袋中，密封并在封口处加盖投标人单位公章，同时“投标文件”大袋应按本表第4.1.2项的规定写明相应内容。</w:t>
            </w:r>
          </w:p>
          <w:p>
            <w:pPr>
              <w:pStyle w:val="18"/>
              <w:widowControl/>
              <w:snapToGrid w:val="0"/>
              <w:spacing w:line="360" w:lineRule="auto"/>
              <w:ind w:right="-8" w:rightChars="-4" w:firstLine="630" w:firstLineChars="300"/>
              <w:rPr>
                <w:rFonts w:ascii="宋体" w:hAnsi="宋体"/>
                <w:szCs w:val="21"/>
              </w:rPr>
            </w:pPr>
            <w:r>
              <w:rPr>
                <w:rFonts w:hint="eastAsia" w:ascii="宋体" w:hAnsi="宋体"/>
                <w:szCs w:val="21"/>
              </w:rPr>
              <w:t>若投标小袋无法全部装下相应的投标资料，可以增加相同的投标小袋、“投标文件”大袋无法全部装下投标小袋，可以增加相同的“投标文件”大袋。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4.1.2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封套上写明</w:t>
            </w:r>
          </w:p>
        </w:tc>
        <w:tc>
          <w:tcPr>
            <w:tcW w:w="6723" w:type="dxa"/>
            <w:tcBorders>
              <w:top w:val="single" w:color="auto" w:sz="4" w:space="0"/>
              <w:left w:val="single" w:color="auto" w:sz="4" w:space="0"/>
              <w:bottom w:val="single" w:color="auto" w:sz="4" w:space="0"/>
              <w:right w:val="single" w:color="auto" w:sz="4" w:space="0"/>
            </w:tcBorders>
            <w:vAlign w:val="center"/>
          </w:tcPr>
          <w:p>
            <w:pPr>
              <w:pStyle w:val="18"/>
              <w:widowControl/>
              <w:spacing w:line="360" w:lineRule="auto"/>
              <w:ind w:right="-8" w:rightChars="-4" w:firstLine="210" w:firstLineChars="100"/>
              <w:rPr>
                <w:rFonts w:ascii="宋体" w:hAnsi="宋体"/>
                <w:szCs w:val="21"/>
              </w:rPr>
            </w:pPr>
            <w:r>
              <w:rPr>
                <w:rFonts w:hint="eastAsia" w:ascii="宋体" w:hAnsi="宋体"/>
                <w:szCs w:val="21"/>
              </w:rPr>
              <w:t>应在“投标文件”大袋和“资格审查资料（含商务部分）”袋封套上写明如下内容：</w:t>
            </w:r>
            <w:r>
              <w:rPr>
                <w:rFonts w:ascii="宋体" w:hAnsi="宋体"/>
                <w:szCs w:val="21"/>
              </w:rPr>
              <w:t xml:space="preserve"> </w:t>
            </w:r>
          </w:p>
          <w:p>
            <w:pPr>
              <w:spacing w:line="360" w:lineRule="auto"/>
              <w:rPr>
                <w:rFonts w:ascii="宋体" w:hAns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b/>
                <w:szCs w:val="21"/>
                <w:u w:val="single"/>
              </w:rPr>
              <w:t xml:space="preserve"> 重庆市立信职业教育中心2022年出版教材供应服务采购</w:t>
            </w:r>
            <w:r>
              <w:rPr>
                <w:rFonts w:hint="eastAsia" w:ascii="宋体" w:hAnsi="宋体"/>
                <w:b/>
                <w:szCs w:val="21"/>
                <w:u w:val="single"/>
                <w:lang w:val="en-US" w:eastAsia="zh-CN"/>
              </w:rPr>
              <w:t xml:space="preserve">  </w:t>
            </w:r>
            <w:r>
              <w:rPr>
                <w:rFonts w:hint="eastAsia" w:ascii="宋体" w:hAnsi="宋体"/>
                <w:szCs w:val="21"/>
              </w:rPr>
              <w:t>投标文件</w:t>
            </w:r>
          </w:p>
          <w:p>
            <w:pPr>
              <w:spacing w:line="360" w:lineRule="auto"/>
              <w:rPr>
                <w:rFonts w:ascii="宋体" w:hAnsi="宋体"/>
                <w:kern w:val="0"/>
                <w:szCs w:val="21"/>
              </w:rPr>
            </w:pPr>
            <w:r>
              <w:rPr>
                <w:rFonts w:hint="eastAsia" w:ascii="宋体" w:hAnsi="宋体"/>
                <w:kern w:val="0"/>
                <w:szCs w:val="21"/>
              </w:rPr>
              <w:t>在</w:t>
            </w:r>
            <w:r>
              <w:rPr>
                <w:rFonts w:hint="eastAsia" w:ascii="宋体" w:hAnsi="宋体"/>
                <w:kern w:val="0"/>
                <w:szCs w:val="21"/>
                <w:u w:val="single"/>
                <w:lang w:val="en-US" w:eastAsia="zh-CN"/>
              </w:rPr>
              <w:t>2022</w:t>
            </w:r>
            <w:r>
              <w:rPr>
                <w:rFonts w:hint="eastAsia" w:ascii="宋体" w:hAnsi="宋体"/>
                <w:kern w:val="0"/>
                <w:szCs w:val="21"/>
              </w:rPr>
              <w:t>年</w:t>
            </w:r>
            <w:r>
              <w:rPr>
                <w:rFonts w:hint="eastAsia" w:ascii="宋体" w:hAnsi="宋体"/>
                <w:kern w:val="0"/>
                <w:szCs w:val="21"/>
                <w:u w:val="single"/>
                <w:lang w:val="en-US" w:eastAsia="zh-CN"/>
              </w:rPr>
              <w:t>1</w:t>
            </w:r>
            <w:r>
              <w:rPr>
                <w:rFonts w:hint="eastAsia" w:ascii="宋体" w:hAnsi="宋体"/>
                <w:kern w:val="0"/>
                <w:szCs w:val="21"/>
              </w:rPr>
              <w:t>月</w:t>
            </w:r>
            <w:r>
              <w:rPr>
                <w:rFonts w:hint="eastAsia" w:ascii="宋体" w:hAnsi="宋体"/>
                <w:kern w:val="0"/>
                <w:szCs w:val="21"/>
                <w:u w:val="single"/>
                <w:lang w:val="en-US" w:eastAsia="zh-CN"/>
              </w:rPr>
              <w:t>7</w:t>
            </w:r>
            <w:r>
              <w:rPr>
                <w:rFonts w:ascii="宋体" w:hAnsi="宋体"/>
                <w:kern w:val="0"/>
                <w:szCs w:val="21"/>
                <w:u w:val="single"/>
              </w:rPr>
              <w:t xml:space="preserve"> </w:t>
            </w:r>
            <w:r>
              <w:rPr>
                <w:rFonts w:hint="eastAsia" w:ascii="宋体" w:hAnsi="宋体"/>
                <w:kern w:val="0"/>
                <w:szCs w:val="21"/>
              </w:rPr>
              <w:t>日</w:t>
            </w:r>
            <w:r>
              <w:rPr>
                <w:rFonts w:hint="eastAsia" w:ascii="宋体" w:hAnsi="宋体"/>
                <w:kern w:val="0"/>
                <w:szCs w:val="21"/>
                <w:u w:val="single"/>
                <w:lang w:val="en-US" w:eastAsia="zh-CN"/>
              </w:rPr>
              <w:t>10</w:t>
            </w:r>
            <w:r>
              <w:rPr>
                <w:rFonts w:hint="eastAsia" w:ascii="宋体" w:hAnsi="宋体"/>
                <w:kern w:val="0"/>
                <w:szCs w:val="21"/>
              </w:rPr>
              <w:t>时</w:t>
            </w:r>
            <w:r>
              <w:rPr>
                <w:rFonts w:hint="eastAsia" w:ascii="宋体" w:hAnsi="宋体"/>
                <w:kern w:val="0"/>
                <w:szCs w:val="21"/>
                <w:u w:val="single"/>
                <w:lang w:val="en-US" w:eastAsia="zh-CN"/>
              </w:rPr>
              <w:t>00</w:t>
            </w:r>
            <w:r>
              <w:rPr>
                <w:rFonts w:hint="eastAsia" w:ascii="宋体" w:hAnsi="宋体"/>
                <w:kern w:val="0"/>
                <w:szCs w:val="21"/>
              </w:rPr>
              <w:t>分（规定的开标时间）前不得开启。</w:t>
            </w:r>
          </w:p>
          <w:p>
            <w:pPr>
              <w:pStyle w:val="2"/>
              <w:adjustRightInd/>
              <w:spacing w:line="360" w:lineRule="auto"/>
              <w:ind w:left="632" w:hanging="632"/>
              <w:rPr>
                <w:rFonts w:ascii="宋体" w:hAnsi="宋体" w:eastAsia="宋体"/>
                <w:b/>
                <w:sz w:val="21"/>
                <w:szCs w:val="21"/>
              </w:rPr>
            </w:pPr>
            <w:r>
              <w:rPr>
                <w:rFonts w:hint="eastAsia" w:ascii="宋体" w:hAnsi="宋体" w:eastAsia="宋体"/>
                <w:b/>
                <w:sz w:val="21"/>
                <w:szCs w:val="21"/>
              </w:rPr>
              <w:t>注：如未按上述规定封装要求填写的，招标人有权拒绝接收其投标文件。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4.2.2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递交投标文件地点</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b/>
                <w:szCs w:val="21"/>
              </w:rPr>
              <w:t>地点：</w:t>
            </w:r>
            <w:r>
              <w:rPr>
                <w:rFonts w:hint="eastAsia" w:ascii="宋体" w:hAnsi="宋体"/>
                <w:spacing w:val="-10"/>
              </w:rPr>
              <w:t>重庆市立信职业教育中心</w:t>
            </w:r>
            <w:r>
              <w:rPr>
                <w:rFonts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4.2.3</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是否退还投标文件</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kern w:val="0"/>
                <w:szCs w:val="21"/>
              </w:rPr>
            </w:pPr>
            <w:r>
              <w:rPr>
                <w:rFonts w:hint="eastAsia" w:ascii="宋体" w:hAnsi="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5.1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开标时间和</w:t>
            </w:r>
          </w:p>
          <w:p>
            <w:pPr>
              <w:snapToGrid w:val="0"/>
              <w:spacing w:line="360" w:lineRule="auto"/>
              <w:jc w:val="center"/>
              <w:rPr>
                <w:rFonts w:ascii="宋体" w:hAnsi="宋体"/>
                <w:kern w:val="0"/>
                <w:szCs w:val="21"/>
              </w:rPr>
            </w:pPr>
            <w:r>
              <w:rPr>
                <w:rFonts w:hint="eastAsia" w:ascii="宋体" w:hAnsi="宋体"/>
                <w:kern w:val="0"/>
                <w:szCs w:val="21"/>
              </w:rPr>
              <w:t>地点</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u w:val="single"/>
              </w:rPr>
            </w:pPr>
            <w:r>
              <w:rPr>
                <w:rFonts w:hint="eastAsia" w:ascii="宋体" w:hAnsi="宋体"/>
                <w:szCs w:val="21"/>
              </w:rPr>
              <w:t>开标时间（投标截止时间）：</w:t>
            </w:r>
            <w:r>
              <w:rPr>
                <w:rFonts w:ascii="宋体" w:hAnsi="宋体"/>
                <w:color w:val="FF0000"/>
                <w:szCs w:val="21"/>
              </w:rPr>
              <w:t>202</w:t>
            </w:r>
            <w:r>
              <w:rPr>
                <w:rFonts w:hint="eastAsia" w:ascii="宋体" w:hAnsi="宋体"/>
                <w:color w:val="FF0000"/>
                <w:szCs w:val="21"/>
                <w:lang w:val="en-US" w:eastAsia="zh-CN"/>
              </w:rPr>
              <w:t>2</w:t>
            </w:r>
            <w:r>
              <w:rPr>
                <w:rFonts w:ascii="宋体" w:hAnsi="宋体"/>
                <w:color w:val="FF0000"/>
                <w:szCs w:val="21"/>
              </w:rPr>
              <w:t>年</w:t>
            </w:r>
            <w:r>
              <w:rPr>
                <w:rFonts w:ascii="宋体" w:hAnsi="宋体"/>
                <w:color w:val="FF0000"/>
                <w:szCs w:val="21"/>
                <w:u w:val="single"/>
              </w:rPr>
              <w:t xml:space="preserve"> </w:t>
            </w:r>
            <w:r>
              <w:rPr>
                <w:rFonts w:hint="eastAsia" w:ascii="宋体" w:hAnsi="宋体"/>
                <w:color w:val="FF0000"/>
                <w:szCs w:val="21"/>
                <w:u w:val="single"/>
                <w:lang w:val="en-US" w:eastAsia="zh-CN"/>
              </w:rPr>
              <w:t>1</w:t>
            </w:r>
            <w:r>
              <w:rPr>
                <w:rFonts w:hint="eastAsia" w:ascii="宋体" w:hAnsi="宋体"/>
                <w:color w:val="FF0000"/>
                <w:szCs w:val="21"/>
                <w:u w:val="single"/>
              </w:rPr>
              <w:t xml:space="preserve"> </w:t>
            </w:r>
            <w:r>
              <w:rPr>
                <w:rFonts w:ascii="宋体" w:hAnsi="宋体"/>
                <w:color w:val="FF0000"/>
                <w:szCs w:val="21"/>
              </w:rPr>
              <w:t>月</w:t>
            </w:r>
            <w:r>
              <w:rPr>
                <w:rFonts w:hint="eastAsia" w:ascii="宋体" w:hAnsi="宋体"/>
                <w:color w:val="FF0000"/>
                <w:szCs w:val="21"/>
                <w:u w:val="single"/>
                <w:lang w:val="en-US" w:eastAsia="zh-CN"/>
              </w:rPr>
              <w:t>7</w:t>
            </w:r>
            <w:r>
              <w:rPr>
                <w:rFonts w:hint="eastAsia" w:ascii="宋体" w:hAnsi="宋体"/>
                <w:color w:val="FF0000"/>
                <w:szCs w:val="21"/>
                <w:u w:val="single"/>
              </w:rPr>
              <w:t xml:space="preserve"> </w:t>
            </w:r>
            <w:r>
              <w:rPr>
                <w:rFonts w:ascii="宋体" w:hAnsi="宋体"/>
                <w:color w:val="FF0000"/>
                <w:szCs w:val="21"/>
              </w:rPr>
              <w:t>日</w:t>
            </w:r>
            <w:r>
              <w:rPr>
                <w:rFonts w:ascii="宋体" w:hAnsi="宋体"/>
                <w:color w:val="FF0000"/>
                <w:szCs w:val="21"/>
                <w:u w:val="single"/>
              </w:rPr>
              <w:t>10</w:t>
            </w:r>
            <w:r>
              <w:rPr>
                <w:rFonts w:ascii="宋体" w:hAnsi="宋体"/>
                <w:color w:val="FF0000"/>
                <w:szCs w:val="21"/>
              </w:rPr>
              <w:t>时</w:t>
            </w:r>
            <w:r>
              <w:rPr>
                <w:rFonts w:ascii="宋体" w:hAnsi="宋体"/>
                <w:color w:val="FF0000"/>
                <w:szCs w:val="21"/>
                <w:u w:val="single"/>
              </w:rPr>
              <w:t xml:space="preserve"> 00 </w:t>
            </w:r>
            <w:r>
              <w:rPr>
                <w:rFonts w:ascii="宋体" w:hAnsi="宋体"/>
                <w:color w:val="FF0000"/>
                <w:szCs w:val="21"/>
              </w:rPr>
              <w:t>分</w:t>
            </w:r>
          </w:p>
          <w:p>
            <w:pPr>
              <w:spacing w:line="360" w:lineRule="auto"/>
              <w:ind w:firstLine="420" w:firstLineChars="200"/>
              <w:rPr>
                <w:rFonts w:ascii="宋体" w:hAnsi="宋体"/>
                <w:kern w:val="0"/>
                <w:szCs w:val="21"/>
                <w:u w:val="single"/>
              </w:rPr>
            </w:pPr>
            <w:r>
              <w:rPr>
                <w:rFonts w:hint="eastAsia" w:ascii="宋体" w:hAnsi="宋体"/>
                <w:szCs w:val="21"/>
              </w:rPr>
              <w:t>开标地点：</w:t>
            </w:r>
            <w:r>
              <w:rPr>
                <w:rFonts w:hint="eastAsia" w:ascii="宋体" w:hAnsi="宋体"/>
                <w:spacing w:val="-10"/>
              </w:rPr>
              <w:t>重庆市立信职业教育中心，</w:t>
            </w:r>
            <w:r>
              <w:rPr>
                <w:rFonts w:ascii="宋体" w:hAnsi="宋体" w:cs="宋体"/>
                <w:b/>
                <w:szCs w:val="21"/>
              </w:rPr>
              <w:t>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kern w:val="0"/>
                <w:szCs w:val="21"/>
              </w:rPr>
              <w:t>5.2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kern w:val="0"/>
                <w:szCs w:val="21"/>
              </w:rPr>
              <w:t>开标程序</w:t>
            </w:r>
          </w:p>
        </w:tc>
        <w:tc>
          <w:tcPr>
            <w:tcW w:w="67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主持人按下列程序进行开标：</w:t>
            </w:r>
          </w:p>
          <w:p>
            <w:pPr>
              <w:autoSpaceDE w:val="0"/>
              <w:autoSpaceDN w:val="0"/>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宣布开标纪律；</w:t>
            </w:r>
          </w:p>
          <w:p>
            <w:pPr>
              <w:autoSpaceDE w:val="0"/>
              <w:autoSpaceDN w:val="0"/>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宣布开标人、唱标人、记录人、监标人等有关人员姓名；</w:t>
            </w:r>
          </w:p>
          <w:p>
            <w:pPr>
              <w:autoSpaceDE w:val="0"/>
              <w:autoSpaceDN w:val="0"/>
              <w:adjustRightInd w:val="0"/>
              <w:snapToGrid w:val="0"/>
              <w:spacing w:line="360" w:lineRule="auto"/>
              <w:ind w:firstLine="420" w:firstLineChars="200"/>
              <w:rPr>
                <w:rFonts w:ascii="宋体" w:hAnsi="宋体"/>
                <w:szCs w:val="21"/>
              </w:rPr>
            </w:pPr>
            <w:r>
              <w:rPr>
                <w:rFonts w:ascii="宋体" w:hAnsi="宋体"/>
                <w:szCs w:val="21"/>
              </w:rPr>
              <w:t xml:space="preserve">3.公布在投标截止时间前递交投标文件的投标人名称，并点名确认投标人法定代表人或其授权代表人是否到场； </w:t>
            </w:r>
          </w:p>
          <w:p>
            <w:pPr>
              <w:autoSpaceDE w:val="0"/>
              <w:autoSpaceDN w:val="0"/>
              <w:adjustRightInd w:val="0"/>
              <w:snapToGrid w:val="0"/>
              <w:spacing w:line="360" w:lineRule="auto"/>
              <w:ind w:firstLine="422" w:firstLineChars="200"/>
              <w:rPr>
                <w:rFonts w:ascii="宋体" w:hAnsi="宋体"/>
                <w:b/>
                <w:szCs w:val="21"/>
              </w:rPr>
            </w:pPr>
            <w:r>
              <w:rPr>
                <w:rFonts w:ascii="宋体" w:hAnsi="宋体"/>
                <w:b/>
                <w:szCs w:val="21"/>
              </w:rPr>
              <w:t>4.</w:t>
            </w:r>
            <w:r>
              <w:rPr>
                <w:rFonts w:hint="eastAsia" w:ascii="宋体" w:hAnsi="宋体"/>
                <w:b/>
                <w:szCs w:val="21"/>
              </w:rPr>
              <w:t>法定代表人参加开标会的，需现场出示身份证及法定代表人身份证明（格式见招标文件第六章）的原件；委托代理人（必须是本单位在册人员）参加开标会的，需现场出示身份证、法定代表人身份证明和授权委托书（格式见招标文件第六章）的原件。</w:t>
            </w:r>
            <w:r>
              <w:rPr>
                <w:rFonts w:hint="eastAsia" w:ascii="宋体" w:hAnsi="宋体"/>
                <w:szCs w:val="21"/>
              </w:rPr>
              <w:t>招标人现场核验参加开标会的投标人法定代表人或其授权委托代理人提供的上述验证资料，以确认其身份合法有效。</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展示投标保证金缴纳情況。</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6.密封情况检查：投标人或者其推选的代表检查投标文件的密封情况并签字确认。</w:t>
            </w:r>
          </w:p>
          <w:p>
            <w:pPr>
              <w:snapToGrid w:val="0"/>
              <w:spacing w:line="360" w:lineRule="auto"/>
              <w:ind w:firstLine="420" w:firstLineChars="200"/>
              <w:rPr>
                <w:rFonts w:ascii="宋体" w:hAnsi="宋体"/>
                <w:szCs w:val="21"/>
              </w:rPr>
            </w:pPr>
            <w:r>
              <w:rPr>
                <w:rFonts w:ascii="宋体" w:hAnsi="宋体"/>
                <w:szCs w:val="21"/>
              </w:rPr>
              <w:t>7.设有最高限价的，公布最高限价；</w:t>
            </w:r>
          </w:p>
          <w:p>
            <w:pPr>
              <w:snapToGrid w:val="0"/>
              <w:spacing w:line="360" w:lineRule="auto"/>
              <w:ind w:firstLine="420" w:firstLineChars="200"/>
              <w:rPr>
                <w:rFonts w:ascii="宋体" w:hAnsi="宋体"/>
                <w:szCs w:val="21"/>
              </w:rPr>
            </w:pPr>
            <w:r>
              <w:rPr>
                <w:rFonts w:ascii="宋体" w:hAnsi="宋体"/>
                <w:szCs w:val="21"/>
              </w:rPr>
              <w:t>8.开启投标文件顺序：随机开启；</w:t>
            </w:r>
          </w:p>
          <w:p>
            <w:pPr>
              <w:snapToGrid w:val="0"/>
              <w:spacing w:line="360" w:lineRule="auto"/>
              <w:ind w:firstLine="420" w:firstLineChars="200"/>
              <w:rPr>
                <w:rFonts w:ascii="宋体" w:hAnsi="宋体"/>
                <w:szCs w:val="21"/>
              </w:rPr>
            </w:pPr>
            <w:r>
              <w:rPr>
                <w:rFonts w:ascii="宋体" w:hAnsi="宋体"/>
                <w:szCs w:val="21"/>
              </w:rPr>
              <w:t>9.按照宣布的开标顺序当众开标，开启资格审查资料（含商务部分）袋、投标文件大袋、投标函部分袋，公布投标人名称、投标报价、质量目标、工期及其他内容并记录在案；</w:t>
            </w:r>
          </w:p>
          <w:p>
            <w:pPr>
              <w:snapToGrid w:val="0"/>
              <w:spacing w:line="360" w:lineRule="auto"/>
              <w:ind w:firstLine="420" w:firstLineChars="200"/>
              <w:rPr>
                <w:rFonts w:ascii="宋体" w:hAnsi="宋体"/>
                <w:szCs w:val="21"/>
              </w:rPr>
            </w:pPr>
            <w:r>
              <w:rPr>
                <w:rFonts w:ascii="宋体" w:hAnsi="宋体"/>
                <w:szCs w:val="21"/>
              </w:rPr>
              <w:t>10.投标人代表、招标人代表、监标人、记录人等有关人员在开标记录上签字确认；</w:t>
            </w:r>
          </w:p>
          <w:p>
            <w:pPr>
              <w:snapToGrid w:val="0"/>
              <w:spacing w:line="360" w:lineRule="auto"/>
              <w:ind w:firstLine="420" w:firstLineChars="200"/>
              <w:rPr>
                <w:rFonts w:ascii="宋体" w:hAnsi="宋体"/>
                <w:szCs w:val="21"/>
              </w:rPr>
            </w:pPr>
            <w:r>
              <w:rPr>
                <w:rFonts w:ascii="宋体" w:hAnsi="宋体"/>
                <w:szCs w:val="21"/>
              </w:rPr>
              <w:t xml:space="preserve">11.开标结束。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6.1.1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评标委员会的组建</w:t>
            </w:r>
          </w:p>
        </w:tc>
        <w:tc>
          <w:tcPr>
            <w:tcW w:w="67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szCs w:val="21"/>
              </w:rPr>
            </w:pPr>
            <w:r>
              <w:rPr>
                <w:rFonts w:ascii="宋体" w:hAnsi="宋体"/>
                <w:szCs w:val="21"/>
              </w:rPr>
              <w:t>评标委员会构成：</w:t>
            </w:r>
            <w:r>
              <w:rPr>
                <w:rFonts w:hint="eastAsia" w:ascii="宋体" w:hAnsi="宋体"/>
                <w:szCs w:val="21"/>
              </w:rPr>
              <w:t>3</w:t>
            </w:r>
            <w:r>
              <w:rPr>
                <w:rFonts w:ascii="宋体" w:hAnsi="宋体"/>
                <w:szCs w:val="21"/>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7.1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是否授权评标委员会确定</w:t>
            </w:r>
          </w:p>
          <w:p>
            <w:pPr>
              <w:snapToGrid w:val="0"/>
              <w:spacing w:line="360" w:lineRule="auto"/>
              <w:jc w:val="center"/>
              <w:rPr>
                <w:rFonts w:ascii="宋体" w:hAnsi="宋体"/>
                <w:kern w:val="0"/>
                <w:szCs w:val="21"/>
              </w:rPr>
            </w:pPr>
            <w:r>
              <w:rPr>
                <w:rFonts w:hint="eastAsia" w:ascii="宋体" w:hAnsi="宋体"/>
                <w:kern w:val="0"/>
                <w:szCs w:val="21"/>
              </w:rPr>
              <w:t>中标人</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kern w:val="0"/>
                <w:szCs w:val="21"/>
              </w:rPr>
            </w:pPr>
            <w:r>
              <w:rPr>
                <w:rFonts w:hint="eastAsia" w:ascii="宋体" w:hAnsi="宋体"/>
                <w:kern w:val="0"/>
                <w:szCs w:val="21"/>
              </w:rPr>
              <w:t>否，推荐经评审得分由高到低排名</w:t>
            </w:r>
            <w:r>
              <w:rPr>
                <w:rFonts w:ascii="宋体" w:hAnsi="宋体"/>
                <w:kern w:val="0"/>
                <w:szCs w:val="21"/>
              </w:rPr>
              <w:t>1～3名为中标候选人。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317" w:leftChars="50" w:hanging="212" w:hangingChars="101"/>
              <w:jc w:val="center"/>
              <w:rPr>
                <w:rFonts w:ascii="宋体" w:hAnsi="宋体"/>
                <w:kern w:val="0"/>
                <w:szCs w:val="21"/>
              </w:rPr>
            </w:pPr>
            <w:r>
              <w:rPr>
                <w:rFonts w:ascii="宋体" w:hAnsi="宋体"/>
                <w:kern w:val="0"/>
                <w:szCs w:val="21"/>
              </w:rPr>
              <w:t>7.2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317" w:leftChars="50" w:hanging="212" w:hangingChars="101"/>
              <w:jc w:val="center"/>
              <w:rPr>
                <w:rFonts w:ascii="宋体" w:hAnsi="宋体"/>
                <w:kern w:val="0"/>
                <w:szCs w:val="21"/>
              </w:rPr>
            </w:pPr>
            <w:r>
              <w:rPr>
                <w:rFonts w:hint="eastAsia" w:ascii="宋体" w:hAnsi="宋体"/>
                <w:kern w:val="0"/>
                <w:szCs w:val="21"/>
              </w:rPr>
              <w:t>中标公示</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380" w:firstLineChars="200"/>
              <w:rPr>
                <w:rFonts w:ascii="宋体" w:hAnsi="宋体" w:cs="宋体"/>
                <w:szCs w:val="21"/>
              </w:rPr>
            </w:pPr>
            <w:r>
              <w:rPr>
                <w:rFonts w:hint="eastAsia" w:ascii="宋体" w:hAnsi="宋体"/>
                <w:spacing w:val="-10"/>
              </w:rPr>
              <w:t>重庆市立信职业教育中心官网</w:t>
            </w:r>
            <w:r>
              <w:rPr>
                <w:rFonts w:hint="eastAsia" w:ascii="宋体" w:hAnsi="宋体" w:cs="宋体"/>
                <w:szCs w:val="21"/>
              </w:rPr>
              <w:t>上发布中标候选人公示：中标候选人排序、名称和投标报价。</w:t>
            </w:r>
          </w:p>
          <w:p>
            <w:pPr>
              <w:snapToGrid w:val="0"/>
              <w:spacing w:line="360" w:lineRule="auto"/>
              <w:ind w:firstLine="420" w:firstLineChars="200"/>
              <w:jc w:val="left"/>
              <w:rPr>
                <w:rFonts w:ascii="宋体" w:hAnsi="宋体"/>
                <w:kern w:val="0"/>
                <w:szCs w:val="21"/>
              </w:rPr>
            </w:pPr>
            <w:r>
              <w:rPr>
                <w:rFonts w:hint="eastAsia" w:ascii="宋体" w:hAnsi="宋体" w:cs="宋体"/>
                <w:szCs w:val="21"/>
              </w:rPr>
              <w:t>公示期限：1</w:t>
            </w:r>
            <w:r>
              <w:rPr>
                <w:rFonts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szCs w:val="21"/>
              </w:rPr>
              <w:t>7.3</w:t>
            </w:r>
          </w:p>
        </w:tc>
        <w:tc>
          <w:tcPr>
            <w:tcW w:w="1491" w:type="dxa"/>
            <w:tcBorders>
              <w:top w:val="single" w:color="auto" w:sz="4" w:space="0"/>
              <w:left w:val="single" w:color="auto" w:sz="4" w:space="0"/>
              <w:bottom w:val="single" w:color="auto" w:sz="4" w:space="0"/>
              <w:right w:val="single" w:color="auto" w:sz="4" w:space="0"/>
            </w:tcBorders>
            <w:vAlign w:val="center"/>
          </w:tcPr>
          <w:p>
            <w:pPr>
              <w:tabs>
                <w:tab w:val="left" w:pos="2032"/>
              </w:tabs>
              <w:autoSpaceDE w:val="0"/>
              <w:autoSpaceDN w:val="0"/>
              <w:adjustRightInd w:val="0"/>
              <w:spacing w:line="360" w:lineRule="auto"/>
              <w:ind w:right="-127"/>
              <w:jc w:val="center"/>
              <w:rPr>
                <w:rFonts w:ascii="宋体" w:hAnsi="宋体"/>
                <w:kern w:val="0"/>
                <w:szCs w:val="21"/>
              </w:rPr>
            </w:pPr>
            <w:r>
              <w:rPr>
                <w:rFonts w:hint="eastAsia" w:ascii="宋体" w:hAnsi="宋体"/>
                <w:szCs w:val="21"/>
              </w:rPr>
              <w:t>履约担保</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jc w:val="left"/>
              <w:rPr>
                <w:rFonts w:ascii="宋体" w:hAnsi="宋体"/>
                <w:b/>
                <w:kern w:val="0"/>
                <w:szCs w:val="21"/>
              </w:rPr>
            </w:pPr>
            <w:r>
              <w:rPr>
                <w:rFonts w:ascii="宋体" w:hAnsi="宋体"/>
                <w:b/>
                <w:kern w:val="0"/>
                <w:szCs w:val="21"/>
              </w:rPr>
              <w:t>1.履约担保金额：</w:t>
            </w:r>
            <w:r>
              <w:rPr>
                <w:rFonts w:hint="eastAsia" w:ascii="宋体" w:hAnsi="宋体"/>
                <w:b/>
                <w:kern w:val="0"/>
                <w:szCs w:val="21"/>
              </w:rPr>
              <w:t>中标人应向招标人缴纳人民币</w:t>
            </w:r>
            <w:r>
              <w:rPr>
                <w:rFonts w:ascii="宋体" w:hAnsi="宋体"/>
                <w:b/>
                <w:kern w:val="0"/>
                <w:szCs w:val="21"/>
              </w:rPr>
              <w:t>10万元作为履约保证金。</w:t>
            </w:r>
          </w:p>
          <w:p>
            <w:pPr>
              <w:snapToGrid w:val="0"/>
              <w:spacing w:line="360" w:lineRule="auto"/>
              <w:ind w:firstLine="420" w:firstLineChars="200"/>
              <w:jc w:val="left"/>
              <w:rPr>
                <w:rFonts w:ascii="宋体" w:hAnsi="宋体"/>
                <w:kern w:val="0"/>
                <w:szCs w:val="21"/>
              </w:rPr>
            </w:pPr>
            <w:r>
              <w:rPr>
                <w:rFonts w:ascii="宋体" w:hAnsi="宋体"/>
                <w:kern w:val="0"/>
                <w:szCs w:val="21"/>
              </w:rPr>
              <w:t>2.履约担保形式：现金、转帐</w:t>
            </w:r>
            <w:r>
              <w:rPr>
                <w:rFonts w:hint="eastAsia" w:ascii="宋体" w:hAnsi="宋体"/>
                <w:kern w:val="0"/>
                <w:szCs w:val="21"/>
              </w:rPr>
              <w:t>、银行保函</w:t>
            </w:r>
            <w:r>
              <w:rPr>
                <w:rFonts w:ascii="宋体" w:hAnsi="宋体"/>
                <w:kern w:val="0"/>
                <w:szCs w:val="21"/>
              </w:rPr>
              <w:t>。</w:t>
            </w:r>
          </w:p>
          <w:p>
            <w:pPr>
              <w:snapToGrid w:val="0"/>
              <w:spacing w:line="360" w:lineRule="auto"/>
              <w:ind w:firstLine="420" w:firstLineChars="200"/>
              <w:jc w:val="left"/>
              <w:rPr>
                <w:rFonts w:ascii="宋体" w:hAnsi="宋体"/>
                <w:kern w:val="0"/>
                <w:szCs w:val="21"/>
              </w:rPr>
            </w:pPr>
            <w:r>
              <w:rPr>
                <w:rFonts w:ascii="宋体" w:hAnsi="宋体"/>
                <w:kern w:val="0"/>
                <w:szCs w:val="21"/>
              </w:rPr>
              <w:t>3.提交时间：接到中标通知书后30天内且在签订投融资合同前提交</w:t>
            </w:r>
            <w:r>
              <w:rPr>
                <w:rFonts w:hint="eastAsia" w:ascii="宋体" w:hAnsi="宋体"/>
                <w:kern w:val="0"/>
                <w:szCs w:val="21"/>
              </w:rPr>
              <w:t>至招标人指定账户，否则视为自动放弃中标资格，其投标保证金不予退还。</w:t>
            </w:r>
          </w:p>
          <w:p>
            <w:pPr>
              <w:snapToGrid w:val="0"/>
              <w:spacing w:line="360" w:lineRule="auto"/>
              <w:ind w:firstLine="420" w:firstLineChars="200"/>
              <w:jc w:val="left"/>
              <w:rPr>
                <w:rFonts w:ascii="宋体" w:hAnsi="宋体"/>
                <w:kern w:val="0"/>
                <w:szCs w:val="21"/>
              </w:rPr>
            </w:pPr>
            <w:r>
              <w:rPr>
                <w:rFonts w:ascii="宋体" w:hAnsi="宋体"/>
                <w:kern w:val="0"/>
                <w:szCs w:val="21"/>
              </w:rPr>
              <w:t>4.返还时间：</w:t>
            </w:r>
            <w:r>
              <w:rPr>
                <w:rFonts w:hint="eastAsia" w:ascii="宋体" w:hAnsi="宋体"/>
                <w:kern w:val="0"/>
                <w:szCs w:val="21"/>
              </w:rPr>
              <w:t>合同到期时若履约情况良好，无遗留问题，则全额无息退还。若所提供教材出现以下情况，则予以扣除保证金，以弥补招标人的损失。</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（1）所供教材为盗版的，一经核实，扣除所有保证金，终止双方合作关系，并由投标人承担所有法律责任。</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（2）中标人应永久保存教材订购数据，无条件供招标人查询、下载和复制等。</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（3）当季教材发放在开学前七日到书率达不到</w:t>
            </w:r>
            <w:r>
              <w:rPr>
                <w:rFonts w:ascii="宋体" w:hAnsi="宋体"/>
                <w:kern w:val="0"/>
                <w:szCs w:val="21"/>
              </w:rPr>
              <w:t>98％，每延迟一天扣除人民币2000.00元，从投标人交纳的保证金中扣除，开学前三日</w:t>
            </w:r>
            <w:r>
              <w:rPr>
                <w:rFonts w:hint="eastAsia" w:ascii="宋体" w:hAnsi="宋体"/>
                <w:kern w:val="0"/>
                <w:szCs w:val="21"/>
              </w:rPr>
              <w:t>到书率仍未达到</w:t>
            </w:r>
            <w:r>
              <w:rPr>
                <w:rFonts w:ascii="宋体" w:hAnsi="宋体"/>
                <w:kern w:val="0"/>
                <w:szCs w:val="21"/>
              </w:rPr>
              <w:t>98％，将扣除所有保证金；当季教材销售结束，立即终止双方合作关系。</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合同期内，若履约失信，则按照违约条款处理。招标人有权解除合同，则只无息返还扣款后的余额并清理出场。合同期满时若履约完全合格，则全额无息返还保证金。</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（4）中标人应遵守国家法律、法规，提供正版及合格的书刊，书刊的装帧、纸张印刷等方面应符合国家有关规范标准的要求。</w:t>
            </w:r>
          </w:p>
          <w:p>
            <w:pPr>
              <w:snapToGrid w:val="0"/>
              <w:spacing w:line="360" w:lineRule="auto"/>
              <w:ind w:firstLine="420" w:firstLineChars="200"/>
              <w:jc w:val="left"/>
              <w:rPr>
                <w:rFonts w:ascii="宋体" w:hAnsi="宋体"/>
                <w:kern w:val="0"/>
                <w:szCs w:val="21"/>
              </w:rPr>
            </w:pPr>
            <w:r>
              <w:rPr>
                <w:rFonts w:hint="eastAsia" w:ascii="宋体" w:hAnsi="宋体"/>
                <w:kern w:val="0"/>
                <w:szCs w:val="21"/>
              </w:rPr>
              <w:t>（5）招标人师生购买的教材，发现破损、倒装、缺页、印刷模糊、页次颠倒、书名不符等，中标人应承诺换书或退书。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8.1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重新招标</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65" w:firstLineChars="174"/>
              <w:rPr>
                <w:rFonts w:ascii="宋体" w:hAnsi="宋体"/>
                <w:kern w:val="0"/>
                <w:szCs w:val="21"/>
              </w:rPr>
            </w:pPr>
            <w:r>
              <w:rPr>
                <w:rFonts w:ascii="宋体" w:hAnsi="宋体"/>
                <w:kern w:val="0"/>
                <w:szCs w:val="21"/>
              </w:rPr>
              <w:t>1.按投标人须知第8.1（1）执行；</w:t>
            </w:r>
          </w:p>
          <w:p>
            <w:pPr>
              <w:spacing w:line="360" w:lineRule="auto"/>
              <w:ind w:firstLine="420" w:firstLineChars="200"/>
              <w:rPr>
                <w:rFonts w:ascii="宋体" w:hAnsi="宋体"/>
                <w:kern w:val="0"/>
                <w:szCs w:val="21"/>
              </w:rPr>
            </w:pPr>
            <w:r>
              <w:rPr>
                <w:rFonts w:ascii="宋体" w:hAnsi="宋体"/>
                <w:kern w:val="0"/>
                <w:szCs w:val="21"/>
              </w:rPr>
              <w:t>2.按投标人须知第8.1（2）执行；</w:t>
            </w:r>
          </w:p>
          <w:p>
            <w:pPr>
              <w:spacing w:line="360" w:lineRule="auto"/>
              <w:ind w:firstLine="420" w:firstLineChars="200"/>
              <w:rPr>
                <w:rFonts w:ascii="宋体" w:hAnsi="宋体"/>
                <w:szCs w:val="21"/>
              </w:rPr>
            </w:pPr>
            <w:r>
              <w:rPr>
                <w:rFonts w:ascii="宋体" w:hAnsi="宋体" w:cs="宋体"/>
                <w:szCs w:val="21"/>
              </w:rPr>
              <w:t>3.</w:t>
            </w:r>
            <w:r>
              <w:rPr>
                <w:rFonts w:hint="eastAsia" w:ascii="宋体" w:hAnsi="宋体" w:cs="宋体"/>
                <w:szCs w:val="21"/>
              </w:rPr>
              <w:t>经评标委员会评审后否决所有投标的；</w:t>
            </w:r>
            <w:r>
              <w:rPr>
                <w:rFonts w:hint="eastAsia" w:ascii="宋体" w:hAnsi="宋体"/>
                <w:szCs w:val="21"/>
              </w:rPr>
              <w:t>如合格的投标人少于三个的，且明显缺乏竞争的，评标委员会可以否决全部投标，招标人将重新组织招标。但是有效投标人的经济、技术等指标仍然具有市场竞争力，能够满足招标文件要求的，评标委员会可以继续评标并确定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8.2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hint="eastAsia" w:ascii="宋体" w:hAnsi="宋体"/>
                <w:kern w:val="0"/>
                <w:szCs w:val="21"/>
              </w:rPr>
              <w:t>二次招标和</w:t>
            </w:r>
          </w:p>
          <w:p>
            <w:pPr>
              <w:snapToGrid w:val="0"/>
              <w:spacing w:line="360" w:lineRule="auto"/>
              <w:jc w:val="center"/>
              <w:rPr>
                <w:rFonts w:ascii="宋体" w:hAnsi="宋体"/>
                <w:kern w:val="0"/>
                <w:szCs w:val="21"/>
              </w:rPr>
            </w:pPr>
            <w:r>
              <w:rPr>
                <w:rFonts w:hint="eastAsia" w:ascii="宋体" w:hAnsi="宋体"/>
                <w:kern w:val="0"/>
                <w:szCs w:val="21"/>
              </w:rPr>
              <w:t>不再招标</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65" w:firstLineChars="174"/>
              <w:rPr>
                <w:rFonts w:ascii="宋体" w:hAnsi="宋体"/>
                <w:kern w:val="0"/>
                <w:szCs w:val="21"/>
              </w:rPr>
            </w:pPr>
            <w:r>
              <w:rPr>
                <w:rFonts w:ascii="宋体" w:hAnsi="宋体"/>
                <w:snapToGrid w:val="0"/>
                <w:kern w:val="0"/>
                <w:szCs w:val="21"/>
              </w:rPr>
              <w:t xml:space="preserve"> 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r>
              <w:rPr>
                <w:rFonts w:ascii="宋体" w:hAnsi="宋体"/>
                <w:kern w:val="0"/>
                <w:szCs w:val="21"/>
              </w:rPr>
              <w:t>9</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Cs w:val="21"/>
              </w:rPr>
            </w:pPr>
          </w:p>
        </w:tc>
        <w:tc>
          <w:tcPr>
            <w:tcW w:w="6723"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kern w:val="0"/>
                <w:szCs w:val="21"/>
              </w:rPr>
            </w:pPr>
            <w:r>
              <w:rPr>
                <w:rFonts w:hint="eastAsia" w:ascii="宋体" w:hAnsi="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9.</w:t>
            </w:r>
            <w:r>
              <w:rPr>
                <w:rFonts w:hint="eastAsia" w:ascii="宋体" w:hAnsi="宋体"/>
                <w:szCs w:val="21"/>
              </w:rPr>
              <w:t>1</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失信处罚</w:t>
            </w:r>
          </w:p>
        </w:tc>
        <w:tc>
          <w:tcPr>
            <w:tcW w:w="6723" w:type="dxa"/>
            <w:tcBorders>
              <w:top w:val="single" w:color="auto" w:sz="4" w:space="0"/>
              <w:left w:val="single" w:color="auto" w:sz="4" w:space="0"/>
              <w:bottom w:val="single" w:color="auto" w:sz="4" w:space="0"/>
              <w:right w:val="single" w:color="auto" w:sz="4" w:space="0"/>
            </w:tcBorders>
            <w:vAlign w:val="center"/>
          </w:tcPr>
          <w:p>
            <w:pPr>
              <w:tabs>
                <w:tab w:val="left" w:pos="2032"/>
              </w:tabs>
              <w:snapToGrid w:val="0"/>
              <w:spacing w:line="360" w:lineRule="auto"/>
              <w:ind w:firstLine="420" w:firstLineChars="200"/>
              <w:rPr>
                <w:rFonts w:ascii="宋体" w:hAnsi="宋体"/>
                <w:szCs w:val="21"/>
              </w:rPr>
            </w:pPr>
            <w:r>
              <w:rPr>
                <w:rFonts w:hint="eastAsia" w:ascii="宋体" w:hAnsi="宋体"/>
                <w:szCs w:val="21"/>
              </w:rPr>
              <w:t>各投标人应秉承诚实信用的原则来参与本次招投标活动，若投标人存在任何形式的弄虚作假行为，一经查实，则将取消其投标资格，并没收其投标保证金，已中标的，还将取消其中标资格，并通报相关行业主管部门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9.</w:t>
            </w:r>
            <w:r>
              <w:rPr>
                <w:rFonts w:hint="eastAsia" w:ascii="宋体" w:hAnsi="宋体"/>
                <w:szCs w:val="21"/>
              </w:rPr>
              <w:t>2</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验收方式</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ascii="宋体" w:hAnsi="宋体"/>
                <w:szCs w:val="21"/>
              </w:rPr>
              <w:t>1.货物到达招标人所在地现场后，中标人应在招标人相关人员在场情况下共同完成开箱、开包，数量清点、检查外观，同时</w:t>
            </w:r>
            <w:r>
              <w:rPr>
                <w:rFonts w:hint="eastAsia" w:ascii="宋体" w:hAnsi="宋体"/>
                <w:szCs w:val="21"/>
              </w:rPr>
              <w:t>作出开箱开包、记录，双方签字确认，并出具验收报告。</w:t>
            </w:r>
          </w:p>
          <w:p>
            <w:pPr>
              <w:spacing w:line="360" w:lineRule="auto"/>
              <w:ind w:firstLine="420" w:firstLineChars="200"/>
              <w:rPr>
                <w:rFonts w:ascii="宋体" w:hAnsi="宋体"/>
                <w:szCs w:val="21"/>
              </w:rPr>
            </w:pPr>
            <w:r>
              <w:rPr>
                <w:rFonts w:ascii="宋体" w:hAnsi="宋体"/>
                <w:szCs w:val="21"/>
              </w:rPr>
              <w:t>2.按照图书印刷出版质量标准、招标文件所列技术标准和规定验收，如验收达不到规定要求，中标人应在10个工作日内无条件调换新品，退、换货，并承担全部责任。</w:t>
            </w:r>
          </w:p>
          <w:p>
            <w:pPr>
              <w:spacing w:line="360" w:lineRule="auto"/>
              <w:ind w:firstLine="420" w:firstLineChars="200"/>
              <w:rPr>
                <w:rFonts w:ascii="宋体" w:hAnsi="宋体"/>
                <w:szCs w:val="21"/>
              </w:rPr>
            </w:pPr>
            <w:r>
              <w:rPr>
                <w:rFonts w:ascii="宋体" w:hAnsi="宋体"/>
                <w:szCs w:val="21"/>
              </w:rPr>
              <w:t>3.中标人必须保证所投图书均为正版产品，若出现盗版图书，将视为中标人自动放弃履约保证金、已交付的货物货款的全部权利，其所有款项将按相关规定予以没收，或作为自动捐赠行为，并承担法律责任。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9.</w:t>
            </w:r>
            <w:r>
              <w:rPr>
                <w:rFonts w:hint="eastAsia" w:ascii="宋体" w:hAnsi="宋体"/>
                <w:szCs w:val="21"/>
              </w:rPr>
              <w:t>3</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知识产权</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outlineLvl w:val="0"/>
              <w:rPr>
                <w:rFonts w:ascii="宋体" w:hAnsi="宋体"/>
                <w:szCs w:val="21"/>
              </w:rPr>
            </w:pPr>
            <w:bookmarkStart w:id="28" w:name="_Toc73546943"/>
            <w:r>
              <w:rPr>
                <w:rFonts w:hint="eastAsia" w:ascii="宋体" w:hAnsi="宋体"/>
                <w:szCs w:val="21"/>
              </w:rPr>
              <w:t>招标人在中华人民共和国境内使用投标人提供的货物及服务时免受第三方提出的侵犯其专利权或其它知识产权的起诉。如果第三方提出侵权指控，中标人应承担由此而引起的一切法律责任和费用。</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9.</w:t>
            </w:r>
            <w:r>
              <w:rPr>
                <w:rFonts w:hint="eastAsia" w:ascii="宋体" w:hAnsi="宋体"/>
                <w:szCs w:val="21"/>
              </w:rPr>
              <w:t>4</w:t>
            </w:r>
          </w:p>
        </w:tc>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其他</w:t>
            </w:r>
          </w:p>
        </w:tc>
        <w:tc>
          <w:tcPr>
            <w:tcW w:w="672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outlineLvl w:val="0"/>
              <w:rPr>
                <w:rFonts w:ascii="宋体" w:hAnsi="宋体"/>
                <w:szCs w:val="21"/>
              </w:rPr>
            </w:pPr>
            <w:bookmarkStart w:id="29" w:name="_Toc73546944"/>
            <w:r>
              <w:rPr>
                <w:rFonts w:hint="eastAsia" w:ascii="宋体" w:hAnsi="宋体"/>
                <w:szCs w:val="21"/>
              </w:rPr>
              <w:t>（一）投标人必须在投标文件中对以上条款和服务承诺明确列出，承诺内容必须达到本篇及招标文件其他条款的要求。</w:t>
            </w:r>
            <w:bookmarkEnd w:id="29"/>
          </w:p>
          <w:p>
            <w:pPr>
              <w:snapToGrid w:val="0"/>
              <w:spacing w:line="360" w:lineRule="auto"/>
              <w:ind w:firstLine="420" w:firstLineChars="200"/>
              <w:outlineLvl w:val="0"/>
              <w:rPr>
                <w:rFonts w:ascii="宋体" w:hAnsi="宋体"/>
                <w:szCs w:val="21"/>
              </w:rPr>
            </w:pPr>
            <w:bookmarkStart w:id="30" w:name="_Toc73546945"/>
            <w:r>
              <w:rPr>
                <w:rFonts w:hint="eastAsia" w:ascii="宋体" w:hAnsi="宋体"/>
                <w:szCs w:val="21"/>
              </w:rPr>
              <w:t>（二）其他未尽事宜由供需双方在采购合同中详细约定。</w:t>
            </w:r>
            <w:bookmarkEnd w:id="30"/>
          </w:p>
        </w:tc>
      </w:tr>
    </w:tbl>
    <w:p>
      <w:pPr>
        <w:pStyle w:val="18"/>
        <w:widowControl/>
        <w:spacing w:line="360" w:lineRule="auto"/>
        <w:ind w:right="-8" w:rightChars="-4"/>
        <w:jc w:val="both"/>
        <w:rPr>
          <w:rFonts w:ascii="宋体" w:hAnsi="宋体"/>
          <w:kern w:val="0"/>
          <w:szCs w:val="21"/>
        </w:rPr>
      </w:pPr>
      <w:r>
        <w:rPr>
          <w:rFonts w:hint="eastAsia" w:ascii="宋体" w:hAnsi="宋体"/>
          <w:kern w:val="0"/>
          <w:szCs w:val="21"/>
        </w:rPr>
        <w:t>注：投标人须知前附表与总则前后不一致之处以投标人须知前附表为准。</w:t>
      </w:r>
      <w:bookmarkEnd w:id="0"/>
      <w:bookmarkStart w:id="31" w:name="_Toc6279"/>
      <w:bookmarkStart w:id="32" w:name="_Toc200513126"/>
      <w:bookmarkStart w:id="33" w:name="_Toc291847018"/>
    </w:p>
    <w:p>
      <w:pPr>
        <w:pStyle w:val="18"/>
        <w:widowControl/>
        <w:spacing w:line="288" w:lineRule="auto"/>
        <w:ind w:right="-8" w:rightChars="-4"/>
        <w:jc w:val="both"/>
        <w:rPr>
          <w:rFonts w:ascii="宋体" w:hAnsi="宋体"/>
          <w:kern w:val="0"/>
        </w:rPr>
        <w:sectPr>
          <w:pgSz w:w="11906" w:h="16838"/>
          <w:pgMar w:top="1440" w:right="1247" w:bottom="1089" w:left="1247" w:header="851" w:footer="992" w:gutter="0"/>
          <w:cols w:space="720" w:num="1"/>
          <w:titlePg/>
          <w:docGrid w:type="lines" w:linePitch="312" w:charSpace="0"/>
        </w:sectPr>
      </w:pP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1.  </w:t>
      </w:r>
      <w:r>
        <w:rPr>
          <w:rFonts w:hint="eastAsia" w:ascii="宋体" w:hAnsi="宋体"/>
          <w:b/>
          <w:bCs/>
          <w:snapToGrid w:val="0"/>
          <w:kern w:val="0"/>
          <w:szCs w:val="21"/>
        </w:rPr>
        <w:t>总则</w:t>
      </w:r>
      <w:bookmarkEnd w:id="31"/>
      <w:bookmarkEnd w:id="32"/>
      <w:bookmarkEnd w:id="33"/>
    </w:p>
    <w:p>
      <w:pPr>
        <w:widowControl/>
        <w:snapToGrid w:val="0"/>
        <w:spacing w:line="400" w:lineRule="exact"/>
        <w:jc w:val="left"/>
        <w:outlineLvl w:val="2"/>
        <w:rPr>
          <w:rFonts w:ascii="宋体" w:hAnsi="宋体"/>
          <w:b/>
          <w:bCs/>
          <w:snapToGrid w:val="0"/>
          <w:kern w:val="0"/>
          <w:szCs w:val="21"/>
        </w:rPr>
      </w:pPr>
      <w:bookmarkStart w:id="34" w:name="_Toc200513127"/>
      <w:bookmarkStart w:id="35" w:name="_Toc291847019"/>
      <w:bookmarkStart w:id="36" w:name="_Toc3173"/>
      <w:r>
        <w:rPr>
          <w:rFonts w:ascii="宋体" w:hAnsi="宋体"/>
          <w:b/>
          <w:bCs/>
          <w:snapToGrid w:val="0"/>
          <w:kern w:val="0"/>
          <w:szCs w:val="21"/>
        </w:rPr>
        <w:t xml:space="preserve">1.1  </w:t>
      </w:r>
      <w:r>
        <w:rPr>
          <w:rFonts w:hint="eastAsia" w:ascii="宋体" w:hAnsi="宋体"/>
          <w:b/>
          <w:bCs/>
          <w:snapToGrid w:val="0"/>
          <w:kern w:val="0"/>
          <w:szCs w:val="21"/>
        </w:rPr>
        <w:t>项目概况</w:t>
      </w:r>
      <w:bookmarkEnd w:id="34"/>
      <w:bookmarkEnd w:id="35"/>
      <w:bookmarkEnd w:id="36"/>
    </w:p>
    <w:p>
      <w:pPr>
        <w:autoSpaceDE w:val="0"/>
        <w:autoSpaceDN w:val="0"/>
        <w:adjustRightInd w:val="0"/>
        <w:snapToGrid w:val="0"/>
        <w:spacing w:line="400" w:lineRule="exact"/>
        <w:ind w:firstLine="357" w:firstLineChars="170"/>
        <w:jc w:val="left"/>
        <w:rPr>
          <w:rFonts w:ascii="宋体" w:hAns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根据《中华人民共和国招标投标法》等有关法律、法规和规章的规定，本招标项目已具备招标条件，现对本项目进行招标。</w:t>
      </w:r>
    </w:p>
    <w:p>
      <w:pPr>
        <w:autoSpaceDE w:val="0"/>
        <w:autoSpaceDN w:val="0"/>
        <w:adjustRightInd w:val="0"/>
        <w:snapToGrid w:val="0"/>
        <w:spacing w:line="400" w:lineRule="exact"/>
        <w:ind w:firstLine="357" w:firstLineChars="170"/>
        <w:jc w:val="left"/>
        <w:rPr>
          <w:rFonts w:ascii="宋体" w:hAns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本招标项目招标人：见投标人须知前附表。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1.1.3  </w:t>
      </w:r>
      <w:r>
        <w:rPr>
          <w:rFonts w:hint="eastAsia" w:ascii="宋体" w:hAnsi="宋体"/>
          <w:snapToGrid w:val="0"/>
          <w:kern w:val="0"/>
          <w:szCs w:val="21"/>
        </w:rPr>
        <w:t>本标段招标代理机构：见投标人须知前附表。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1.1.4  </w:t>
      </w:r>
      <w:r>
        <w:rPr>
          <w:rFonts w:hint="eastAsia" w:ascii="宋体" w:hAnsi="宋体"/>
          <w:snapToGrid w:val="0"/>
          <w:kern w:val="0"/>
          <w:szCs w:val="21"/>
        </w:rPr>
        <w:t>本招标项目名称：见投标人须知前附表。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1.1.5  </w:t>
      </w:r>
      <w:r>
        <w:rPr>
          <w:rFonts w:hint="eastAsia" w:ascii="宋体" w:hAnsi="宋体"/>
          <w:snapToGrid w:val="0"/>
          <w:kern w:val="0"/>
          <w:szCs w:val="21"/>
        </w:rPr>
        <w:t>本标段建设地点：见投标人须知前附表。</w:t>
      </w:r>
    </w:p>
    <w:p>
      <w:pPr>
        <w:widowControl/>
        <w:snapToGrid w:val="0"/>
        <w:spacing w:line="400" w:lineRule="exact"/>
        <w:jc w:val="left"/>
        <w:outlineLvl w:val="2"/>
        <w:rPr>
          <w:rFonts w:ascii="宋体" w:hAnsi="宋体"/>
          <w:b/>
          <w:bCs/>
          <w:snapToGrid w:val="0"/>
          <w:kern w:val="0"/>
          <w:szCs w:val="21"/>
        </w:rPr>
      </w:pPr>
      <w:bookmarkStart w:id="37" w:name="_Toc27129"/>
      <w:bookmarkStart w:id="38" w:name="_Toc200513128"/>
      <w:bookmarkStart w:id="39" w:name="_Toc291847020"/>
      <w:r>
        <w:rPr>
          <w:rFonts w:ascii="宋体" w:hAnsi="宋体"/>
          <w:b/>
          <w:bCs/>
          <w:snapToGrid w:val="0"/>
          <w:kern w:val="0"/>
          <w:szCs w:val="21"/>
        </w:rPr>
        <w:t xml:space="preserve">1.2  </w:t>
      </w:r>
      <w:r>
        <w:rPr>
          <w:rFonts w:hint="eastAsia" w:ascii="宋体" w:hAnsi="宋体"/>
          <w:b/>
          <w:bCs/>
          <w:snapToGrid w:val="0"/>
          <w:kern w:val="0"/>
          <w:szCs w:val="21"/>
        </w:rPr>
        <w:t>资金来源和落实情况</w:t>
      </w:r>
      <w:bookmarkEnd w:id="37"/>
      <w:bookmarkEnd w:id="38"/>
      <w:bookmarkEnd w:id="39"/>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1.2.1  </w:t>
      </w:r>
      <w:r>
        <w:rPr>
          <w:rFonts w:hint="eastAsia" w:ascii="宋体" w:hAnsi="宋体"/>
          <w:snapToGrid w:val="0"/>
          <w:kern w:val="0"/>
          <w:szCs w:val="21"/>
        </w:rPr>
        <w:t>本招标项目的资金来源：见投标人须知前附表。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1.2.2  </w:t>
      </w:r>
      <w:r>
        <w:rPr>
          <w:rFonts w:hint="eastAsia" w:ascii="宋体" w:hAnsi="宋体"/>
          <w:snapToGrid w:val="0"/>
          <w:kern w:val="0"/>
          <w:szCs w:val="21"/>
        </w:rPr>
        <w:t>本招标项目的出资比例：见投标人须知前附表。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1.2.3  </w:t>
      </w:r>
      <w:r>
        <w:rPr>
          <w:rFonts w:hint="eastAsia" w:ascii="宋体" w:hAnsi="宋体"/>
          <w:snapToGrid w:val="0"/>
          <w:kern w:val="0"/>
          <w:szCs w:val="21"/>
        </w:rPr>
        <w:t>本招标项目的资金落实情况：见投标人须知前附表。</w:t>
      </w:r>
    </w:p>
    <w:p>
      <w:pPr>
        <w:widowControl/>
        <w:snapToGrid w:val="0"/>
        <w:spacing w:line="400" w:lineRule="exact"/>
        <w:jc w:val="left"/>
        <w:outlineLvl w:val="2"/>
        <w:rPr>
          <w:rFonts w:ascii="宋体" w:hAnsi="宋体"/>
          <w:b/>
          <w:bCs/>
          <w:snapToGrid w:val="0"/>
          <w:kern w:val="0"/>
          <w:szCs w:val="21"/>
        </w:rPr>
      </w:pPr>
      <w:bookmarkStart w:id="40" w:name="_Toc200513129"/>
      <w:bookmarkStart w:id="41" w:name="_Toc291847021"/>
      <w:bookmarkStart w:id="42" w:name="_Toc1951"/>
      <w:r>
        <w:rPr>
          <w:rFonts w:ascii="宋体" w:hAnsi="宋体"/>
          <w:b/>
          <w:bCs/>
          <w:snapToGrid w:val="0"/>
          <w:kern w:val="0"/>
          <w:szCs w:val="21"/>
        </w:rPr>
        <w:t xml:space="preserve">1.3  </w:t>
      </w:r>
      <w:r>
        <w:rPr>
          <w:rFonts w:hint="eastAsia" w:ascii="宋体" w:hAnsi="宋体"/>
          <w:b/>
          <w:bCs/>
          <w:snapToGrid w:val="0"/>
          <w:kern w:val="0"/>
          <w:szCs w:val="21"/>
        </w:rPr>
        <w:t>招标范围、计划工期和质量要求</w:t>
      </w:r>
      <w:bookmarkEnd w:id="40"/>
      <w:bookmarkEnd w:id="41"/>
      <w:bookmarkEnd w:id="42"/>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1.3.1  </w:t>
      </w:r>
      <w:r>
        <w:rPr>
          <w:rFonts w:hint="eastAsia" w:ascii="宋体" w:hAnsi="宋体"/>
          <w:snapToGrid w:val="0"/>
          <w:kern w:val="0"/>
          <w:szCs w:val="21"/>
        </w:rPr>
        <w:t>本次招标范围：见投标人须知前附表。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1.3.2  </w:t>
      </w:r>
      <w:r>
        <w:rPr>
          <w:rFonts w:hint="eastAsia" w:ascii="宋体" w:hAnsi="宋体"/>
          <w:snapToGrid w:val="0"/>
          <w:kern w:val="0"/>
          <w:szCs w:val="21"/>
        </w:rPr>
        <w:t>本标段的</w:t>
      </w:r>
      <w:r>
        <w:rPr>
          <w:rFonts w:hint="eastAsia" w:ascii="宋体" w:hAnsi="宋体"/>
          <w:szCs w:val="21"/>
        </w:rPr>
        <w:t>服务期</w:t>
      </w:r>
      <w:r>
        <w:rPr>
          <w:rFonts w:hint="eastAsia" w:ascii="宋体" w:hAnsi="宋体"/>
          <w:snapToGrid w:val="0"/>
          <w:kern w:val="0"/>
          <w:szCs w:val="21"/>
        </w:rPr>
        <w:t>：见投标人须知前附表。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1.3.3  </w:t>
      </w:r>
      <w:r>
        <w:rPr>
          <w:rFonts w:hint="eastAsia" w:ascii="宋体" w:hAnsi="宋体"/>
          <w:snapToGrid w:val="0"/>
          <w:kern w:val="0"/>
          <w:szCs w:val="21"/>
        </w:rPr>
        <w:t>本标段的质量保证及售后服务：见投标人须知前附表。</w:t>
      </w:r>
    </w:p>
    <w:p>
      <w:pPr>
        <w:widowControl/>
        <w:snapToGrid w:val="0"/>
        <w:spacing w:line="400" w:lineRule="exact"/>
        <w:jc w:val="left"/>
        <w:outlineLvl w:val="2"/>
        <w:rPr>
          <w:rFonts w:ascii="宋体" w:hAnsi="宋体"/>
          <w:b/>
          <w:bCs/>
          <w:snapToGrid w:val="0"/>
          <w:kern w:val="0"/>
          <w:szCs w:val="21"/>
        </w:rPr>
      </w:pPr>
      <w:bookmarkStart w:id="43" w:name="_Toc200513131"/>
      <w:bookmarkStart w:id="44" w:name="_Toc9659"/>
      <w:bookmarkStart w:id="45" w:name="_Toc291847022"/>
      <w:r>
        <w:rPr>
          <w:rFonts w:ascii="宋体" w:hAnsi="宋体"/>
          <w:b/>
          <w:bCs/>
          <w:snapToGrid w:val="0"/>
          <w:kern w:val="0"/>
          <w:szCs w:val="21"/>
        </w:rPr>
        <w:t xml:space="preserve">1.4  </w:t>
      </w:r>
      <w:r>
        <w:rPr>
          <w:rFonts w:hint="eastAsia" w:ascii="宋体" w:hAnsi="宋体"/>
          <w:b/>
          <w:bCs/>
          <w:snapToGrid w:val="0"/>
          <w:kern w:val="0"/>
          <w:szCs w:val="21"/>
        </w:rPr>
        <w:t>投标人资格要求</w:t>
      </w:r>
      <w:bookmarkEnd w:id="43"/>
      <w:bookmarkEnd w:id="44"/>
      <w:bookmarkEnd w:id="45"/>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ascii="宋体" w:hAnsi="宋体"/>
          <w:snapToGrid w:val="0"/>
          <w:kern w:val="0"/>
          <w:szCs w:val="21"/>
        </w:rPr>
        <w:t xml:space="preserve">1.4.1 </w:t>
      </w:r>
      <w:r>
        <w:rPr>
          <w:rFonts w:hint="eastAsia" w:ascii="宋体" w:hAnsi="宋体"/>
          <w:snapToGrid w:val="0"/>
          <w:kern w:val="0"/>
          <w:szCs w:val="21"/>
        </w:rPr>
        <w:t>投标人应具备承担本标段施工的资质条件、能力和信誉。</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w:t>
      </w:r>
      <w:r>
        <w:rPr>
          <w:rFonts w:hint="eastAsia" w:ascii="宋体" w:hAnsi="宋体"/>
          <w:szCs w:val="21"/>
        </w:rPr>
        <w:t>资质条件</w:t>
      </w:r>
      <w:r>
        <w:rPr>
          <w:rFonts w:hint="eastAsia" w:ascii="宋体" w:hAnsi="宋体"/>
          <w:snapToGrid w:val="0"/>
          <w:kern w:val="0"/>
          <w:szCs w:val="21"/>
        </w:rPr>
        <w:t>：见投标人须知前附表；</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w:t>
      </w:r>
      <w:r>
        <w:rPr>
          <w:rFonts w:hint="eastAsia" w:ascii="宋体" w:hAnsi="宋体"/>
          <w:snapToGrid w:val="0"/>
          <w:kern w:val="0"/>
          <w:szCs w:val="21"/>
        </w:rPr>
        <w:t>人员</w:t>
      </w:r>
      <w:r>
        <w:rPr>
          <w:rFonts w:ascii="宋体" w:hAnsi="宋体"/>
          <w:snapToGrid w:val="0"/>
          <w:kern w:val="0"/>
          <w:szCs w:val="21"/>
        </w:rPr>
        <w:t>要求：见投标人须知前附表；</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3）信誉要求：见投标人须知前附表；</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4）其他要求：见投标人须知前附表；</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ascii="宋体" w:hAnsi="宋体"/>
          <w:snapToGrid w:val="0"/>
          <w:kern w:val="0"/>
          <w:szCs w:val="21"/>
        </w:rPr>
        <w:t xml:space="preserve">1.4.3  </w:t>
      </w:r>
      <w:r>
        <w:rPr>
          <w:rFonts w:hint="eastAsia" w:ascii="宋体" w:hAnsi="宋体"/>
          <w:snapToGrid w:val="0"/>
          <w:kern w:val="0"/>
          <w:szCs w:val="21"/>
        </w:rPr>
        <w:t>投标人不得存在下列情形之一：</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position w:val="-2"/>
          <w:szCs w:val="21"/>
        </w:rPr>
        <w:t>（</w:t>
      </w:r>
      <w:r>
        <w:rPr>
          <w:rFonts w:ascii="宋体" w:hAnsi="宋体"/>
          <w:snapToGrid w:val="0"/>
          <w:kern w:val="0"/>
          <w:position w:val="-2"/>
          <w:szCs w:val="21"/>
        </w:rPr>
        <w:t>1）与招标人存在利害关系可能影响招标公正性的法人、其他组织或者个人；</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3）为本标段的监理人；</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4）为本标段的代建人；</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5）为本标段提供招标代理服务的；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6）与本标段的监理人或代建人或招标代理机构同为一个法定代表人的；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7）与本标段的监理人或代建人或招标代理机构相互控股或参股的；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8）与本标段的监理人或代建人或招标代理机构相互任职或工作的；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9）被责令停业的；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10）被暂停或取消投标资格的；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11）财产被接管或冻结的；</w:t>
      </w:r>
    </w:p>
    <w:p>
      <w:pPr>
        <w:autoSpaceDE w:val="0"/>
        <w:autoSpaceDN w:val="0"/>
        <w:adjustRightInd w:val="0"/>
        <w:snapToGrid w:val="0"/>
        <w:spacing w:line="400" w:lineRule="exact"/>
        <w:ind w:firstLine="359" w:firstLine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12）</w:t>
      </w:r>
      <w:r>
        <w:rPr>
          <w:rFonts w:hint="eastAsia" w:ascii="宋体" w:hAnsi="宋体"/>
          <w:sz w:val="22"/>
        </w:rPr>
        <w:t>单位负责人为同一人或者存在控股、管理关系的不同单位，不得在同一标段中同时投标</w:t>
      </w:r>
      <w:r>
        <w:rPr>
          <w:rFonts w:hint="eastAsia" w:ascii="宋体" w:hAnsi="宋体"/>
          <w:snapToGrid w:val="0"/>
          <w:kern w:val="0"/>
          <w:szCs w:val="21"/>
        </w:rPr>
        <w:t>。</w:t>
      </w:r>
    </w:p>
    <w:p>
      <w:pPr>
        <w:widowControl/>
        <w:snapToGrid w:val="0"/>
        <w:spacing w:line="400" w:lineRule="exact"/>
        <w:jc w:val="left"/>
        <w:outlineLvl w:val="2"/>
        <w:rPr>
          <w:rFonts w:ascii="宋体" w:hAnsi="宋体"/>
          <w:b/>
          <w:bCs/>
          <w:snapToGrid w:val="0"/>
          <w:kern w:val="0"/>
          <w:szCs w:val="21"/>
        </w:rPr>
      </w:pPr>
      <w:bookmarkStart w:id="46" w:name="_Toc291847023"/>
      <w:bookmarkStart w:id="47" w:name="_Toc22446"/>
      <w:bookmarkStart w:id="48" w:name="_Toc200513132"/>
      <w:r>
        <w:rPr>
          <w:rFonts w:ascii="宋体" w:hAnsi="宋体"/>
          <w:b/>
          <w:bCs/>
          <w:snapToGrid w:val="0"/>
          <w:kern w:val="0"/>
          <w:szCs w:val="21"/>
        </w:rPr>
        <w:t xml:space="preserve">1.5  </w:t>
      </w:r>
      <w:r>
        <w:rPr>
          <w:rFonts w:hint="eastAsia" w:ascii="宋体" w:hAnsi="宋体"/>
          <w:b/>
          <w:bCs/>
          <w:snapToGrid w:val="0"/>
          <w:kern w:val="0"/>
          <w:szCs w:val="21"/>
        </w:rPr>
        <w:t>费用承担</w:t>
      </w:r>
      <w:bookmarkEnd w:id="46"/>
      <w:bookmarkEnd w:id="47"/>
      <w:bookmarkEnd w:id="48"/>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投标人准备和参加投标活动发生的费用自理。</w:t>
      </w:r>
    </w:p>
    <w:p>
      <w:pPr>
        <w:widowControl/>
        <w:snapToGrid w:val="0"/>
        <w:spacing w:line="400" w:lineRule="exact"/>
        <w:jc w:val="left"/>
        <w:outlineLvl w:val="2"/>
        <w:rPr>
          <w:rFonts w:ascii="宋体" w:hAnsi="宋体"/>
          <w:b/>
          <w:bCs/>
          <w:snapToGrid w:val="0"/>
          <w:kern w:val="0"/>
          <w:szCs w:val="21"/>
        </w:rPr>
      </w:pPr>
      <w:bookmarkStart w:id="49" w:name="_Toc2224"/>
      <w:bookmarkStart w:id="50" w:name="_Toc291847024"/>
      <w:bookmarkStart w:id="51" w:name="_Toc200513133"/>
      <w:r>
        <w:rPr>
          <w:rFonts w:ascii="宋体" w:hAnsi="宋体"/>
          <w:b/>
          <w:bCs/>
          <w:snapToGrid w:val="0"/>
          <w:kern w:val="0"/>
          <w:szCs w:val="21"/>
        </w:rPr>
        <w:t xml:space="preserve">1.6  </w:t>
      </w:r>
      <w:r>
        <w:rPr>
          <w:rFonts w:hint="eastAsia" w:ascii="宋体" w:hAnsi="宋体"/>
          <w:b/>
          <w:bCs/>
          <w:snapToGrid w:val="0"/>
          <w:kern w:val="0"/>
          <w:szCs w:val="21"/>
        </w:rPr>
        <w:t>保密</w:t>
      </w:r>
      <w:bookmarkEnd w:id="49"/>
      <w:bookmarkEnd w:id="50"/>
      <w:bookmarkEnd w:id="51"/>
    </w:p>
    <w:p>
      <w:pPr>
        <w:autoSpaceDE w:val="0"/>
        <w:autoSpaceDN w:val="0"/>
        <w:adjustRightInd w:val="0"/>
        <w:snapToGrid w:val="0"/>
        <w:spacing w:line="400" w:lineRule="exact"/>
        <w:ind w:firstLine="420"/>
        <w:jc w:val="left"/>
        <w:rPr>
          <w:rFonts w:ascii="宋体" w:hAnsi="宋体"/>
          <w:snapToGrid w:val="0"/>
          <w:kern w:val="0"/>
          <w:szCs w:val="21"/>
        </w:rPr>
      </w:pPr>
      <w:r>
        <w:rPr>
          <w:rFonts w:hint="eastAsia" w:ascii="宋体" w:hAnsi="宋体"/>
          <w:snapToGrid w:val="0"/>
          <w:kern w:val="0"/>
          <w:szCs w:val="21"/>
        </w:rPr>
        <w:t>参与招标投标活动的各方应对招标文件和投标文件中的商业和技术等秘密保密，违者应对由此造成的后果承担法律责任。</w:t>
      </w:r>
    </w:p>
    <w:p>
      <w:pPr>
        <w:widowControl/>
        <w:snapToGrid w:val="0"/>
        <w:spacing w:line="400" w:lineRule="exact"/>
        <w:jc w:val="left"/>
        <w:outlineLvl w:val="2"/>
        <w:rPr>
          <w:rFonts w:ascii="宋体" w:hAnsi="宋体"/>
          <w:b/>
          <w:bCs/>
          <w:snapToGrid w:val="0"/>
          <w:kern w:val="0"/>
          <w:szCs w:val="21"/>
        </w:rPr>
      </w:pPr>
      <w:bookmarkStart w:id="52" w:name="_Toc7689"/>
      <w:bookmarkStart w:id="53" w:name="_Toc291847025"/>
      <w:bookmarkStart w:id="54" w:name="_Toc200513134"/>
      <w:r>
        <w:rPr>
          <w:rFonts w:ascii="宋体" w:hAnsi="宋体"/>
          <w:b/>
          <w:bCs/>
          <w:snapToGrid w:val="0"/>
          <w:kern w:val="0"/>
          <w:szCs w:val="21"/>
        </w:rPr>
        <w:t xml:space="preserve">1.7  </w:t>
      </w:r>
      <w:r>
        <w:rPr>
          <w:rFonts w:hint="eastAsia" w:ascii="宋体" w:hAnsi="宋体"/>
          <w:b/>
          <w:bCs/>
          <w:snapToGrid w:val="0"/>
          <w:kern w:val="0"/>
          <w:szCs w:val="21"/>
        </w:rPr>
        <w:t>语言文字</w:t>
      </w:r>
      <w:bookmarkEnd w:id="52"/>
      <w:bookmarkEnd w:id="53"/>
      <w:bookmarkEnd w:id="54"/>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除专用术语外，与招标投标有关的语言均使用中文。必要时专用术语应附有中文注释。</w:t>
      </w:r>
    </w:p>
    <w:p>
      <w:pPr>
        <w:widowControl/>
        <w:snapToGrid w:val="0"/>
        <w:spacing w:line="400" w:lineRule="exact"/>
        <w:jc w:val="left"/>
        <w:outlineLvl w:val="2"/>
        <w:rPr>
          <w:rFonts w:ascii="宋体" w:hAnsi="宋体"/>
          <w:b/>
          <w:bCs/>
          <w:snapToGrid w:val="0"/>
          <w:kern w:val="0"/>
          <w:szCs w:val="21"/>
        </w:rPr>
      </w:pPr>
      <w:bookmarkStart w:id="55" w:name="_Toc200513135"/>
      <w:bookmarkStart w:id="56" w:name="_Toc11790"/>
      <w:bookmarkStart w:id="57" w:name="_Toc291847026"/>
      <w:r>
        <w:rPr>
          <w:rFonts w:ascii="宋体" w:hAnsi="宋体"/>
          <w:b/>
          <w:bCs/>
          <w:snapToGrid w:val="0"/>
          <w:kern w:val="0"/>
          <w:szCs w:val="21"/>
        </w:rPr>
        <w:t xml:space="preserve">1.8  </w:t>
      </w:r>
      <w:r>
        <w:rPr>
          <w:rFonts w:hint="eastAsia" w:ascii="宋体" w:hAnsi="宋体"/>
          <w:b/>
          <w:bCs/>
          <w:snapToGrid w:val="0"/>
          <w:kern w:val="0"/>
          <w:szCs w:val="21"/>
        </w:rPr>
        <w:t>计量单位</w:t>
      </w:r>
      <w:bookmarkEnd w:id="55"/>
      <w:bookmarkEnd w:id="56"/>
      <w:bookmarkEnd w:id="57"/>
    </w:p>
    <w:p>
      <w:pPr>
        <w:autoSpaceDE w:val="0"/>
        <w:autoSpaceDN w:val="0"/>
        <w:adjustRightInd w:val="0"/>
        <w:snapToGrid w:val="0"/>
        <w:spacing w:line="400" w:lineRule="exact"/>
        <w:ind w:firstLine="424" w:firstLineChars="202"/>
        <w:jc w:val="left"/>
        <w:rPr>
          <w:rFonts w:ascii="宋体" w:hAnsi="宋体"/>
          <w:snapToGrid w:val="0"/>
          <w:kern w:val="0"/>
          <w:szCs w:val="21"/>
        </w:rPr>
      </w:pPr>
      <w:r>
        <w:rPr>
          <w:rFonts w:hint="eastAsia" w:ascii="宋体" w:hAnsi="宋体"/>
          <w:snapToGrid w:val="0"/>
          <w:kern w:val="0"/>
          <w:szCs w:val="21"/>
        </w:rPr>
        <w:t>所有计量均采用中华人民共和国法定计量单位。</w:t>
      </w:r>
    </w:p>
    <w:p>
      <w:pPr>
        <w:widowControl/>
        <w:snapToGrid w:val="0"/>
        <w:spacing w:line="400" w:lineRule="exact"/>
        <w:jc w:val="left"/>
        <w:outlineLvl w:val="2"/>
        <w:rPr>
          <w:rFonts w:ascii="宋体" w:hAnsi="宋体"/>
          <w:b/>
          <w:bCs/>
          <w:snapToGrid w:val="0"/>
          <w:kern w:val="0"/>
          <w:szCs w:val="21"/>
        </w:rPr>
      </w:pPr>
      <w:bookmarkStart w:id="58" w:name="_Toc291847027"/>
      <w:bookmarkStart w:id="59" w:name="_Toc200513136"/>
      <w:bookmarkStart w:id="60" w:name="_Toc29253"/>
      <w:r>
        <w:rPr>
          <w:rFonts w:ascii="宋体" w:hAnsi="宋体"/>
          <w:b/>
          <w:bCs/>
          <w:snapToGrid w:val="0"/>
          <w:kern w:val="0"/>
          <w:szCs w:val="21"/>
        </w:rPr>
        <w:t xml:space="preserve">1.9  </w:t>
      </w:r>
      <w:r>
        <w:rPr>
          <w:rFonts w:hint="eastAsia" w:ascii="宋体" w:hAnsi="宋体"/>
          <w:b/>
          <w:bCs/>
          <w:snapToGrid w:val="0"/>
          <w:kern w:val="0"/>
          <w:szCs w:val="21"/>
        </w:rPr>
        <w:t>踏勘现场</w:t>
      </w:r>
      <w:bookmarkEnd w:id="58"/>
      <w:bookmarkEnd w:id="59"/>
      <w:bookmarkEnd w:id="60"/>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1.9.1 </w:t>
      </w:r>
      <w:r>
        <w:rPr>
          <w:rFonts w:hint="eastAsia" w:ascii="宋体" w:hAnsi="宋体"/>
          <w:snapToGrid w:val="0"/>
          <w:kern w:val="0"/>
          <w:szCs w:val="21"/>
        </w:rPr>
        <w:t>详见投标人须知前附表。</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1.9.2 </w:t>
      </w:r>
      <w:r>
        <w:rPr>
          <w:rFonts w:hint="eastAsia" w:ascii="宋体" w:hAnsi="宋体"/>
          <w:snapToGrid w:val="0"/>
          <w:kern w:val="0"/>
          <w:szCs w:val="21"/>
        </w:rPr>
        <w:t>投标人踏勘现场发生的费用自理。</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1.9.3 </w:t>
      </w:r>
      <w:r>
        <w:rPr>
          <w:rFonts w:hint="eastAsia" w:ascii="宋体" w:hAnsi="宋体"/>
          <w:snapToGrid w:val="0"/>
          <w:kern w:val="0"/>
          <w:szCs w:val="21"/>
        </w:rPr>
        <w:t>除招标人的原因外，投标人自行负责在踏勘现场中发生的人员伤亡和财产损失。</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1.9.4 </w:t>
      </w:r>
      <w:r>
        <w:rPr>
          <w:rFonts w:hint="eastAsia" w:ascii="宋体" w:hAnsi="宋体"/>
          <w:snapToGrid w:val="0"/>
          <w:kern w:val="0"/>
          <w:szCs w:val="21"/>
        </w:rPr>
        <w:t>招标人在踏勘现场中介绍的工程场地和相关周边环境情况，供投标人在编制投标文件时参考，招标人不对投标人据此作出的判断和决策负责。</w:t>
      </w:r>
    </w:p>
    <w:p>
      <w:pPr>
        <w:widowControl/>
        <w:snapToGrid w:val="0"/>
        <w:spacing w:line="400" w:lineRule="exact"/>
        <w:jc w:val="left"/>
        <w:outlineLvl w:val="2"/>
        <w:rPr>
          <w:rFonts w:ascii="宋体" w:hAnsi="宋体"/>
          <w:b/>
          <w:bCs/>
          <w:snapToGrid w:val="0"/>
          <w:kern w:val="0"/>
          <w:szCs w:val="21"/>
        </w:rPr>
      </w:pPr>
      <w:bookmarkStart w:id="61" w:name="_Toc200513137"/>
      <w:bookmarkStart w:id="62" w:name="_Toc23424"/>
      <w:bookmarkStart w:id="63" w:name="_Toc291847028"/>
      <w:r>
        <w:rPr>
          <w:rFonts w:ascii="宋体" w:hAnsi="宋体"/>
          <w:b/>
          <w:bCs/>
          <w:snapToGrid w:val="0"/>
          <w:kern w:val="0"/>
          <w:szCs w:val="21"/>
        </w:rPr>
        <w:t xml:space="preserve">1.10  </w:t>
      </w:r>
      <w:r>
        <w:rPr>
          <w:rFonts w:hint="eastAsia" w:ascii="宋体" w:hAnsi="宋体"/>
          <w:b/>
          <w:bCs/>
          <w:snapToGrid w:val="0"/>
          <w:kern w:val="0"/>
          <w:szCs w:val="21"/>
        </w:rPr>
        <w:t>投标</w:t>
      </w:r>
      <w:bookmarkStart w:id="64" w:name="OLE_LINK1"/>
      <w:r>
        <w:rPr>
          <w:rFonts w:hint="eastAsia" w:ascii="宋体" w:hAnsi="宋体"/>
          <w:b/>
          <w:bCs/>
          <w:snapToGrid w:val="0"/>
          <w:kern w:val="0"/>
          <w:szCs w:val="21"/>
        </w:rPr>
        <w:t>预备会</w:t>
      </w:r>
      <w:bookmarkEnd w:id="61"/>
      <w:bookmarkEnd w:id="62"/>
      <w:bookmarkEnd w:id="63"/>
      <w:bookmarkEnd w:id="64"/>
    </w:p>
    <w:p>
      <w:pPr>
        <w:spacing w:line="400" w:lineRule="exact"/>
        <w:ind w:firstLine="420" w:firstLineChars="200"/>
        <w:rPr>
          <w:rFonts w:ascii="宋体" w:hAnsi="宋体"/>
          <w:szCs w:val="21"/>
        </w:rPr>
      </w:pPr>
      <w:r>
        <w:rPr>
          <w:rFonts w:hint="eastAsia" w:ascii="宋体" w:hAnsi="宋体"/>
          <w:snapToGrid w:val="0"/>
          <w:kern w:val="0"/>
          <w:szCs w:val="21"/>
        </w:rPr>
        <w:t>不召开</w:t>
      </w:r>
    </w:p>
    <w:p>
      <w:pPr>
        <w:widowControl/>
        <w:snapToGrid w:val="0"/>
        <w:spacing w:line="400" w:lineRule="exact"/>
        <w:jc w:val="left"/>
        <w:outlineLvl w:val="2"/>
        <w:rPr>
          <w:rFonts w:ascii="宋体" w:hAnsi="宋体"/>
          <w:b/>
          <w:bCs/>
          <w:snapToGrid w:val="0"/>
          <w:kern w:val="0"/>
          <w:szCs w:val="21"/>
        </w:rPr>
      </w:pPr>
      <w:bookmarkStart w:id="65" w:name="_Toc291847029"/>
      <w:bookmarkStart w:id="66" w:name="_Toc1562"/>
      <w:bookmarkStart w:id="67" w:name="_Toc200513138"/>
      <w:r>
        <w:rPr>
          <w:rFonts w:ascii="宋体" w:hAnsi="宋体"/>
          <w:b/>
          <w:bCs/>
          <w:snapToGrid w:val="0"/>
          <w:kern w:val="0"/>
          <w:szCs w:val="21"/>
        </w:rPr>
        <w:t xml:space="preserve">1.11  </w:t>
      </w:r>
      <w:r>
        <w:rPr>
          <w:rFonts w:hint="eastAsia" w:ascii="宋体" w:hAnsi="宋体"/>
          <w:b/>
          <w:bCs/>
          <w:snapToGrid w:val="0"/>
          <w:kern w:val="0"/>
          <w:szCs w:val="21"/>
        </w:rPr>
        <w:t>分包</w:t>
      </w:r>
      <w:bookmarkEnd w:id="65"/>
      <w:bookmarkEnd w:id="66"/>
      <w:bookmarkEnd w:id="67"/>
    </w:p>
    <w:p>
      <w:pPr>
        <w:autoSpaceDE w:val="0"/>
        <w:autoSpaceDN w:val="0"/>
        <w:adjustRightInd w:val="0"/>
        <w:snapToGrid w:val="0"/>
        <w:spacing w:line="400" w:lineRule="exact"/>
        <w:ind w:firstLine="424" w:firstLineChars="202"/>
        <w:jc w:val="left"/>
        <w:rPr>
          <w:rFonts w:ascii="宋体" w:hAnsi="宋体"/>
          <w:snapToGrid w:val="0"/>
          <w:kern w:val="0"/>
          <w:szCs w:val="21"/>
        </w:rPr>
      </w:pPr>
      <w:bookmarkStart w:id="68" w:name="_Toc200513139"/>
      <w:r>
        <w:rPr>
          <w:rFonts w:hint="eastAsia" w:ascii="宋体" w:hAnsi="宋体"/>
          <w:snapToGrid w:val="0"/>
          <w:kern w:val="0"/>
          <w:szCs w:val="21"/>
        </w:rPr>
        <w:t>不允许</w:t>
      </w:r>
    </w:p>
    <w:p>
      <w:pPr>
        <w:widowControl/>
        <w:snapToGrid w:val="0"/>
        <w:spacing w:line="400" w:lineRule="exact"/>
        <w:jc w:val="left"/>
        <w:outlineLvl w:val="2"/>
        <w:rPr>
          <w:rFonts w:ascii="宋体" w:hAnsi="宋体"/>
          <w:b/>
          <w:bCs/>
          <w:snapToGrid w:val="0"/>
          <w:kern w:val="0"/>
          <w:szCs w:val="21"/>
        </w:rPr>
      </w:pPr>
      <w:bookmarkStart w:id="69" w:name="_Toc31641"/>
      <w:bookmarkStart w:id="70" w:name="_Toc291847030"/>
      <w:r>
        <w:rPr>
          <w:rFonts w:ascii="宋体" w:hAnsi="宋体"/>
          <w:b/>
          <w:bCs/>
          <w:snapToGrid w:val="0"/>
          <w:kern w:val="0"/>
          <w:szCs w:val="21"/>
        </w:rPr>
        <w:t xml:space="preserve">1.12  </w:t>
      </w:r>
      <w:r>
        <w:rPr>
          <w:rFonts w:hint="eastAsia" w:ascii="宋体" w:hAnsi="宋体"/>
          <w:b/>
          <w:bCs/>
          <w:snapToGrid w:val="0"/>
          <w:kern w:val="0"/>
          <w:szCs w:val="21"/>
        </w:rPr>
        <w:t>偏离</w:t>
      </w:r>
      <w:bookmarkEnd w:id="68"/>
      <w:bookmarkEnd w:id="69"/>
      <w:bookmarkEnd w:id="70"/>
    </w:p>
    <w:p>
      <w:pPr>
        <w:widowControl/>
        <w:snapToGrid w:val="0"/>
        <w:spacing w:line="400" w:lineRule="exact"/>
        <w:ind w:firstLine="420" w:firstLineChars="200"/>
        <w:jc w:val="left"/>
        <w:outlineLvl w:val="2"/>
        <w:rPr>
          <w:rFonts w:ascii="宋体" w:hAnsi="宋体"/>
          <w:snapToGrid w:val="0"/>
          <w:kern w:val="0"/>
          <w:szCs w:val="21"/>
        </w:rPr>
      </w:pPr>
      <w:r>
        <w:rPr>
          <w:rFonts w:hint="eastAsia" w:ascii="宋体" w:hAnsi="宋体"/>
          <w:snapToGrid w:val="0"/>
          <w:kern w:val="0"/>
          <w:szCs w:val="21"/>
        </w:rPr>
        <w:t>投标人须知前附表允许投标文件偏离招标文件某些要求的，偏离应当符合招标文件规定的偏离范围和幅度。</w:t>
      </w:r>
    </w:p>
    <w:p>
      <w:pPr>
        <w:widowControl/>
        <w:snapToGrid w:val="0"/>
        <w:spacing w:line="400" w:lineRule="exact"/>
        <w:jc w:val="left"/>
        <w:outlineLvl w:val="2"/>
        <w:rPr>
          <w:rFonts w:ascii="宋体" w:hAnsi="宋体"/>
          <w:b/>
          <w:bCs/>
          <w:snapToGrid w:val="0"/>
          <w:kern w:val="0"/>
          <w:szCs w:val="21"/>
        </w:rPr>
      </w:pPr>
      <w:bookmarkStart w:id="71" w:name="_Toc200513140"/>
      <w:bookmarkStart w:id="72" w:name="_Toc682"/>
      <w:bookmarkStart w:id="73" w:name="_Toc291847031"/>
      <w:r>
        <w:rPr>
          <w:rFonts w:ascii="宋体" w:hAnsi="宋体"/>
          <w:b/>
          <w:bCs/>
          <w:snapToGrid w:val="0"/>
          <w:kern w:val="0"/>
          <w:szCs w:val="21"/>
        </w:rPr>
        <w:t xml:space="preserve">2.  </w:t>
      </w:r>
      <w:r>
        <w:rPr>
          <w:rFonts w:hint="eastAsia" w:ascii="宋体" w:hAnsi="宋体"/>
          <w:b/>
          <w:bCs/>
          <w:snapToGrid w:val="0"/>
          <w:kern w:val="0"/>
          <w:szCs w:val="21"/>
        </w:rPr>
        <w:t>招标文件</w:t>
      </w:r>
      <w:bookmarkEnd w:id="71"/>
      <w:bookmarkEnd w:id="72"/>
      <w:bookmarkEnd w:id="73"/>
    </w:p>
    <w:p>
      <w:pPr>
        <w:widowControl/>
        <w:snapToGrid w:val="0"/>
        <w:spacing w:line="400" w:lineRule="exact"/>
        <w:jc w:val="left"/>
        <w:outlineLvl w:val="2"/>
        <w:rPr>
          <w:rFonts w:ascii="宋体" w:hAnsi="宋体"/>
          <w:b/>
          <w:bCs/>
          <w:snapToGrid w:val="0"/>
          <w:kern w:val="0"/>
          <w:szCs w:val="21"/>
        </w:rPr>
      </w:pPr>
      <w:bookmarkStart w:id="74" w:name="_Toc8316"/>
      <w:bookmarkStart w:id="75" w:name="_Toc291847032"/>
      <w:bookmarkStart w:id="76" w:name="_Toc200513141"/>
      <w:r>
        <w:rPr>
          <w:rFonts w:ascii="宋体" w:hAnsi="宋体"/>
          <w:b/>
          <w:bCs/>
          <w:snapToGrid w:val="0"/>
          <w:kern w:val="0"/>
          <w:szCs w:val="21"/>
        </w:rPr>
        <w:t xml:space="preserve">2.1  </w:t>
      </w:r>
      <w:r>
        <w:rPr>
          <w:rFonts w:hint="eastAsia" w:ascii="宋体" w:hAnsi="宋体"/>
          <w:b/>
          <w:bCs/>
          <w:snapToGrid w:val="0"/>
          <w:kern w:val="0"/>
          <w:szCs w:val="21"/>
        </w:rPr>
        <w:t>招标文件的组成</w:t>
      </w:r>
      <w:bookmarkEnd w:id="74"/>
      <w:bookmarkEnd w:id="75"/>
      <w:bookmarkEnd w:id="76"/>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本招标文件包括：</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1）招标公告；</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2）投标人须知；</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3）评标办法；</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4）合同条款及格式；</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5）技术标准和要求；</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6）投标文件格式；</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7）投标人须知前附表规定的其他材料。</w:t>
      </w:r>
    </w:p>
    <w:p>
      <w:pPr>
        <w:autoSpaceDE w:val="0"/>
        <w:autoSpaceDN w:val="0"/>
        <w:adjustRightInd w:val="0"/>
        <w:snapToGrid w:val="0"/>
        <w:spacing w:line="400" w:lineRule="exact"/>
        <w:ind w:firstLine="420"/>
        <w:jc w:val="left"/>
        <w:rPr>
          <w:rFonts w:ascii="宋体" w:hAnsi="宋体"/>
          <w:snapToGrid w:val="0"/>
          <w:kern w:val="0"/>
          <w:szCs w:val="21"/>
        </w:rPr>
      </w:pPr>
      <w:r>
        <w:rPr>
          <w:rFonts w:hint="eastAsia" w:ascii="宋体" w:hAnsi="宋体"/>
          <w:snapToGrid w:val="0"/>
          <w:kern w:val="0"/>
          <w:szCs w:val="21"/>
        </w:rPr>
        <w:t>根据本章第</w:t>
      </w:r>
      <w:r>
        <w:rPr>
          <w:rFonts w:ascii="宋体" w:hAnsi="宋体"/>
          <w:snapToGrid w:val="0"/>
          <w:kern w:val="0"/>
          <w:szCs w:val="21"/>
        </w:rPr>
        <w:t>1.10款、第2.2款和第2.3款对招标文件所作的澄清、修改，构成招标文件的组成部分。</w:t>
      </w:r>
    </w:p>
    <w:p>
      <w:pPr>
        <w:widowControl/>
        <w:snapToGrid w:val="0"/>
        <w:spacing w:line="400" w:lineRule="exact"/>
        <w:jc w:val="left"/>
        <w:outlineLvl w:val="2"/>
        <w:rPr>
          <w:rFonts w:ascii="宋体" w:hAnsi="宋体"/>
          <w:b/>
          <w:bCs/>
          <w:snapToGrid w:val="0"/>
          <w:kern w:val="0"/>
          <w:szCs w:val="21"/>
        </w:rPr>
      </w:pPr>
      <w:bookmarkStart w:id="77" w:name="_Toc291847033"/>
      <w:bookmarkStart w:id="78" w:name="_Toc12521"/>
      <w:bookmarkStart w:id="79" w:name="_Toc200513142"/>
      <w:r>
        <w:rPr>
          <w:rFonts w:ascii="宋体" w:hAnsi="宋体"/>
          <w:b/>
          <w:bCs/>
          <w:snapToGrid w:val="0"/>
          <w:kern w:val="0"/>
          <w:szCs w:val="21"/>
        </w:rPr>
        <w:t xml:space="preserve">2.2  </w:t>
      </w:r>
      <w:r>
        <w:rPr>
          <w:rFonts w:hint="eastAsia" w:ascii="宋体" w:hAnsi="宋体"/>
          <w:b/>
          <w:bCs/>
          <w:snapToGrid w:val="0"/>
          <w:kern w:val="0"/>
          <w:szCs w:val="21"/>
        </w:rPr>
        <w:t>招标文件的澄清</w:t>
      </w:r>
      <w:bookmarkEnd w:id="77"/>
      <w:bookmarkEnd w:id="78"/>
      <w:bookmarkEnd w:id="79"/>
    </w:p>
    <w:p>
      <w:pPr>
        <w:autoSpaceDE w:val="0"/>
        <w:autoSpaceDN w:val="0"/>
        <w:adjustRightInd w:val="0"/>
        <w:snapToGrid w:val="0"/>
        <w:spacing w:line="400" w:lineRule="exact"/>
        <w:ind w:firstLine="420"/>
        <w:jc w:val="left"/>
        <w:rPr>
          <w:rFonts w:ascii="宋体" w:hAnsi="宋体"/>
          <w:snapToGrid w:val="0"/>
          <w:kern w:val="0"/>
          <w:szCs w:val="21"/>
        </w:rPr>
      </w:pPr>
      <w:bookmarkStart w:id="80" w:name="_Toc291847034"/>
      <w:bookmarkStart w:id="81" w:name="_Toc31013"/>
      <w:bookmarkStart w:id="82" w:name="_Toc200513143"/>
      <w:r>
        <w:rPr>
          <w:rFonts w:ascii="宋体" w:hAnsi="宋体"/>
          <w:snapToGrid w:val="0"/>
          <w:kern w:val="0"/>
          <w:szCs w:val="21"/>
        </w:rPr>
        <w:t>2.2.1  投标人应仔细阅读和检查图纸及招标文件的全部内容。如发现缺页或附件不全，应及时向招标人提出，以便补齐。如有疑问，应在投标人须知前附表规定的时间前提出疑问，要求招标人对招标文件予以澄清。</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2.2.2  招标文件的澄清将在投标人须知前附表规定的投标截止时间15天前在</w:t>
      </w:r>
      <w:r>
        <w:rPr>
          <w:rFonts w:ascii="宋体" w:hAnsi="宋体"/>
          <w:szCs w:val="21"/>
        </w:rPr>
        <w:t>通过</w:t>
      </w:r>
      <w:r>
        <w:rPr>
          <w:rFonts w:hint="eastAsia" w:ascii="宋体" w:hAnsi="宋体"/>
          <w:szCs w:val="21"/>
        </w:rPr>
        <w:t>邮件</w:t>
      </w:r>
      <w:r>
        <w:rPr>
          <w:rFonts w:ascii="宋体" w:hAnsi="宋体"/>
          <w:szCs w:val="21"/>
        </w:rPr>
        <w:t>的方式通知投标人，无论投标人是否</w:t>
      </w:r>
      <w:r>
        <w:rPr>
          <w:rFonts w:hint="eastAsia" w:ascii="宋体" w:hAnsi="宋体"/>
          <w:szCs w:val="21"/>
        </w:rPr>
        <w:t>浏览</w:t>
      </w:r>
      <w:r>
        <w:rPr>
          <w:rFonts w:ascii="宋体" w:hAnsi="宋体"/>
          <w:szCs w:val="21"/>
        </w:rPr>
        <w:t>有关本项目招标的</w:t>
      </w:r>
      <w:r>
        <w:rPr>
          <w:rFonts w:hint="eastAsia" w:ascii="宋体" w:hAnsi="宋体"/>
          <w:szCs w:val="21"/>
        </w:rPr>
        <w:t>答疑及补遗</w:t>
      </w:r>
      <w:r>
        <w:rPr>
          <w:rFonts w:ascii="宋体" w:hAnsi="宋体"/>
          <w:szCs w:val="21"/>
        </w:rPr>
        <w:t>信息，均视为投标人已知悉有关本项目招标的的</w:t>
      </w:r>
      <w:r>
        <w:rPr>
          <w:rFonts w:hint="eastAsia" w:ascii="宋体" w:hAnsi="宋体"/>
          <w:szCs w:val="21"/>
        </w:rPr>
        <w:t>答疑及补遗</w:t>
      </w:r>
      <w:r>
        <w:rPr>
          <w:rFonts w:ascii="宋体" w:hAnsi="宋体"/>
          <w:szCs w:val="21"/>
        </w:rPr>
        <w:t>全部信息</w:t>
      </w:r>
      <w:r>
        <w:rPr>
          <w:rFonts w:ascii="宋体" w:hAnsi="宋体"/>
          <w:snapToGrid w:val="0"/>
          <w:kern w:val="0"/>
          <w:szCs w:val="21"/>
        </w:rPr>
        <w:t>。</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2.2.3  </w:t>
      </w:r>
      <w:r>
        <w:rPr>
          <w:rFonts w:hint="eastAsia" w:ascii="宋体" w:hAnsi="宋体"/>
          <w:snapToGrid w:val="0"/>
          <w:kern w:val="0"/>
          <w:szCs w:val="21"/>
        </w:rPr>
        <w:t>招标人对招标文件的补遗内容可能影响投标文件编制的，须在投标截止时间</w:t>
      </w:r>
      <w:r>
        <w:rPr>
          <w:rFonts w:ascii="宋体" w:hAnsi="宋体"/>
          <w:snapToGrid w:val="0"/>
          <w:kern w:val="0"/>
          <w:szCs w:val="21"/>
        </w:rPr>
        <w:t>15日前发布，发布时间至投标截止时间不足15日的，须相应延后投标截止时间。</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2.2.4投标人对招标文件和答疑补遗仍有疑问的，可于投标截止时间10日前，以书面形式通知招标人或招标代理机构。</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2.3  </w:t>
      </w:r>
      <w:r>
        <w:rPr>
          <w:rFonts w:hint="eastAsia" w:ascii="宋体" w:hAnsi="宋体"/>
          <w:b/>
          <w:bCs/>
          <w:snapToGrid w:val="0"/>
          <w:kern w:val="0"/>
          <w:szCs w:val="21"/>
        </w:rPr>
        <w:t>招标文件的修改</w:t>
      </w:r>
      <w:bookmarkEnd w:id="80"/>
      <w:bookmarkEnd w:id="81"/>
      <w:bookmarkEnd w:id="82"/>
    </w:p>
    <w:p>
      <w:pPr>
        <w:autoSpaceDE w:val="0"/>
        <w:autoSpaceDN w:val="0"/>
        <w:adjustRightInd w:val="0"/>
        <w:snapToGrid w:val="0"/>
        <w:spacing w:line="400" w:lineRule="exact"/>
        <w:ind w:firstLine="420" w:firstLineChars="200"/>
        <w:jc w:val="left"/>
        <w:rPr>
          <w:rFonts w:ascii="宋体" w:hAnsi="宋体"/>
          <w:snapToGrid w:val="0"/>
          <w:kern w:val="0"/>
          <w:szCs w:val="21"/>
        </w:rPr>
      </w:pPr>
      <w:bookmarkStart w:id="83" w:name="_Toc200513144"/>
      <w:bookmarkStart w:id="84" w:name="_Toc291847035"/>
      <w:bookmarkStart w:id="85" w:name="_Toc20055"/>
      <w:r>
        <w:rPr>
          <w:rFonts w:ascii="宋体" w:hAnsi="宋体"/>
          <w:snapToGrid w:val="0"/>
          <w:kern w:val="0"/>
          <w:szCs w:val="21"/>
        </w:rPr>
        <w:t xml:space="preserve">2.3.1  </w:t>
      </w:r>
      <w:r>
        <w:rPr>
          <w:rFonts w:hint="eastAsia" w:ascii="宋体" w:hAnsi="宋体"/>
          <w:snapToGrid w:val="0"/>
          <w:kern w:val="0"/>
          <w:szCs w:val="21"/>
        </w:rPr>
        <w:t>在投标截止时间</w:t>
      </w:r>
      <w:r>
        <w:rPr>
          <w:rFonts w:ascii="宋体" w:hAnsi="宋体"/>
          <w:snapToGrid w:val="0"/>
          <w:kern w:val="0"/>
          <w:szCs w:val="21"/>
        </w:rPr>
        <w:t>15天前，招标人可以书面形式修改招标文件</w:t>
      </w:r>
      <w:r>
        <w:rPr>
          <w:rFonts w:ascii="宋体" w:hAnsi="宋体"/>
          <w:szCs w:val="21"/>
        </w:rPr>
        <w:t>通过</w:t>
      </w:r>
      <w:r>
        <w:rPr>
          <w:rFonts w:hint="eastAsia" w:ascii="宋体" w:hAnsi="宋体"/>
          <w:szCs w:val="21"/>
        </w:rPr>
        <w:t>邮件</w:t>
      </w:r>
      <w:r>
        <w:rPr>
          <w:rFonts w:ascii="宋体" w:hAnsi="宋体"/>
          <w:szCs w:val="21"/>
        </w:rPr>
        <w:t>的方式通知投标人，无论投标人是否</w:t>
      </w:r>
      <w:r>
        <w:rPr>
          <w:rFonts w:hint="eastAsia" w:ascii="宋体" w:hAnsi="宋体"/>
          <w:szCs w:val="21"/>
        </w:rPr>
        <w:t>浏览</w:t>
      </w:r>
      <w:r>
        <w:rPr>
          <w:rFonts w:ascii="宋体" w:hAnsi="宋体"/>
          <w:szCs w:val="21"/>
        </w:rPr>
        <w:t>有关本项目招标的</w:t>
      </w:r>
      <w:r>
        <w:rPr>
          <w:rFonts w:hint="eastAsia" w:ascii="宋体" w:hAnsi="宋体"/>
          <w:szCs w:val="21"/>
        </w:rPr>
        <w:t>答疑及补遗</w:t>
      </w:r>
      <w:r>
        <w:rPr>
          <w:rFonts w:ascii="宋体" w:hAnsi="宋体"/>
          <w:szCs w:val="21"/>
        </w:rPr>
        <w:t>信息，均视为投标人已知悉有关本项目招标的的</w:t>
      </w:r>
      <w:r>
        <w:rPr>
          <w:rFonts w:hint="eastAsia" w:ascii="宋体" w:hAnsi="宋体"/>
          <w:szCs w:val="21"/>
        </w:rPr>
        <w:t>答疑及补遗</w:t>
      </w:r>
      <w:r>
        <w:rPr>
          <w:rFonts w:ascii="宋体" w:hAnsi="宋体"/>
          <w:szCs w:val="21"/>
        </w:rPr>
        <w:t>全部信息</w:t>
      </w:r>
      <w:r>
        <w:rPr>
          <w:rFonts w:hint="eastAsia" w:ascii="宋体" w:hAnsi="宋体"/>
          <w:szCs w:val="21"/>
        </w:rPr>
        <w:t>，</w:t>
      </w:r>
      <w:r>
        <w:rPr>
          <w:rFonts w:hint="eastAsia" w:ascii="宋体" w:hAnsi="宋体"/>
          <w:snapToGrid w:val="0"/>
          <w:kern w:val="0"/>
          <w:szCs w:val="21"/>
        </w:rPr>
        <w:t>如果修改招标文件的时间距投标截止时间不足</w:t>
      </w:r>
      <w:r>
        <w:rPr>
          <w:rFonts w:ascii="宋体" w:hAnsi="宋体"/>
          <w:snapToGrid w:val="0"/>
          <w:kern w:val="0"/>
          <w:szCs w:val="21"/>
        </w:rPr>
        <w:t>15天，相应延长投标截</w:t>
      </w:r>
      <w:r>
        <w:rPr>
          <w:rFonts w:hint="eastAsia" w:ascii="宋体" w:hAnsi="宋体"/>
          <w:snapToGrid w:val="0"/>
          <w:kern w:val="0"/>
          <w:position w:val="-2"/>
          <w:szCs w:val="21"/>
        </w:rPr>
        <w:t>止时间。</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ascii="宋体" w:hAnsi="宋体"/>
          <w:snapToGrid w:val="0"/>
          <w:kern w:val="0"/>
          <w:szCs w:val="21"/>
        </w:rPr>
        <w:t xml:space="preserve">2.3.2  </w:t>
      </w:r>
      <w:r>
        <w:rPr>
          <w:rFonts w:hint="eastAsia" w:ascii="宋体" w:hAnsi="宋体"/>
          <w:snapToGrid w:val="0"/>
          <w:kern w:val="0"/>
          <w:szCs w:val="21"/>
        </w:rPr>
        <w:t>投标人收到修改内容后，应在投标人须知前附表规定的时间内以书面形式通知招标人，确认已收到该修改。</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3.  </w:t>
      </w:r>
      <w:r>
        <w:rPr>
          <w:rFonts w:hint="eastAsia" w:ascii="宋体" w:hAnsi="宋体"/>
          <w:b/>
          <w:bCs/>
          <w:snapToGrid w:val="0"/>
          <w:kern w:val="0"/>
          <w:szCs w:val="21"/>
        </w:rPr>
        <w:t>投标文件</w:t>
      </w:r>
      <w:bookmarkEnd w:id="83"/>
      <w:bookmarkEnd w:id="84"/>
      <w:bookmarkEnd w:id="85"/>
    </w:p>
    <w:p>
      <w:pPr>
        <w:widowControl/>
        <w:snapToGrid w:val="0"/>
        <w:spacing w:line="400" w:lineRule="exact"/>
        <w:jc w:val="left"/>
        <w:outlineLvl w:val="2"/>
        <w:rPr>
          <w:rFonts w:ascii="宋体" w:hAnsi="宋体"/>
          <w:b/>
          <w:bCs/>
          <w:snapToGrid w:val="0"/>
          <w:kern w:val="0"/>
          <w:szCs w:val="21"/>
        </w:rPr>
      </w:pPr>
      <w:bookmarkStart w:id="86" w:name="_Toc291847036"/>
      <w:bookmarkStart w:id="87" w:name="_Toc200513145"/>
      <w:bookmarkStart w:id="88" w:name="_Toc13763"/>
      <w:r>
        <w:rPr>
          <w:rFonts w:ascii="宋体" w:hAnsi="宋体"/>
          <w:b/>
          <w:bCs/>
          <w:snapToGrid w:val="0"/>
          <w:kern w:val="0"/>
          <w:szCs w:val="21"/>
        </w:rPr>
        <w:t xml:space="preserve">3.1  </w:t>
      </w:r>
      <w:r>
        <w:rPr>
          <w:rFonts w:hint="eastAsia" w:ascii="宋体" w:hAnsi="宋体"/>
          <w:b/>
          <w:bCs/>
          <w:snapToGrid w:val="0"/>
          <w:kern w:val="0"/>
          <w:szCs w:val="21"/>
        </w:rPr>
        <w:t>投标文件的组成</w:t>
      </w:r>
      <w:bookmarkEnd w:id="86"/>
      <w:bookmarkEnd w:id="87"/>
      <w:bookmarkEnd w:id="88"/>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ascii="宋体" w:hAnsi="宋体"/>
          <w:snapToGrid w:val="0"/>
          <w:kern w:val="0"/>
          <w:szCs w:val="21"/>
        </w:rPr>
        <w:t xml:space="preserve">3.1.1 </w:t>
      </w:r>
      <w:r>
        <w:rPr>
          <w:rFonts w:hint="eastAsia" w:ascii="宋体" w:hAnsi="宋体"/>
          <w:snapToGrid w:val="0"/>
          <w:kern w:val="0"/>
          <w:szCs w:val="21"/>
        </w:rPr>
        <w:t>投标文件应包括下列内容：</w:t>
      </w:r>
    </w:p>
    <w:p>
      <w:pPr>
        <w:autoSpaceDE w:val="0"/>
        <w:autoSpaceDN w:val="0"/>
        <w:adjustRightInd w:val="0"/>
        <w:snapToGrid w:val="0"/>
        <w:spacing w:line="400" w:lineRule="exact"/>
        <w:ind w:firstLine="422" w:firstLineChars="200"/>
        <w:jc w:val="left"/>
        <w:rPr>
          <w:rFonts w:ascii="宋体" w:hAnsi="宋体"/>
          <w:b/>
          <w:snapToGrid w:val="0"/>
          <w:kern w:val="0"/>
          <w:szCs w:val="21"/>
        </w:rPr>
      </w:pPr>
      <w:bookmarkStart w:id="89" w:name="_Toc291847037"/>
      <w:bookmarkStart w:id="90" w:name="_Toc200513146"/>
      <w:bookmarkStart w:id="91" w:name="_Toc14437"/>
      <w:r>
        <w:rPr>
          <w:rFonts w:hint="eastAsia" w:ascii="宋体" w:hAnsi="宋体"/>
          <w:b/>
          <w:snapToGrid w:val="0"/>
          <w:kern w:val="0"/>
          <w:szCs w:val="21"/>
        </w:rPr>
        <w:t>一、投标函部分</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（一）投标函</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（二）法定代表人身份证明及授权委托书</w:t>
      </w:r>
    </w:p>
    <w:p>
      <w:pPr>
        <w:autoSpaceDE w:val="0"/>
        <w:autoSpaceDN w:val="0"/>
        <w:adjustRightInd w:val="0"/>
        <w:snapToGrid w:val="0"/>
        <w:spacing w:line="400" w:lineRule="exact"/>
        <w:ind w:firstLine="420" w:firstLineChars="200"/>
        <w:jc w:val="left"/>
        <w:rPr>
          <w:rStyle w:val="378"/>
          <w:rFonts w:ascii="宋体" w:hAnsi="宋体"/>
        </w:rPr>
      </w:pPr>
      <w:r>
        <w:rPr>
          <w:rStyle w:val="378"/>
          <w:rFonts w:hint="eastAsia" w:ascii="宋体" w:hAnsi="宋体"/>
        </w:rPr>
        <w:t>（三）投标保证金</w:t>
      </w:r>
    </w:p>
    <w:p>
      <w:pPr>
        <w:autoSpaceDE w:val="0"/>
        <w:autoSpaceDN w:val="0"/>
        <w:adjustRightInd w:val="0"/>
        <w:snapToGrid w:val="0"/>
        <w:spacing w:line="400" w:lineRule="exact"/>
        <w:ind w:firstLine="422" w:firstLineChars="200"/>
        <w:jc w:val="left"/>
        <w:rPr>
          <w:rFonts w:ascii="宋体" w:hAnsi="宋体"/>
          <w:b/>
          <w:snapToGrid w:val="0"/>
          <w:kern w:val="0"/>
          <w:szCs w:val="21"/>
        </w:rPr>
      </w:pPr>
      <w:r>
        <w:rPr>
          <w:rFonts w:hint="eastAsia" w:ascii="宋体" w:hAnsi="宋体"/>
          <w:b/>
          <w:snapToGrid w:val="0"/>
          <w:kern w:val="0"/>
          <w:szCs w:val="21"/>
        </w:rPr>
        <w:t>二、资格审查资料（含商务部分）</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（一）法定代表人身份证明及授权委托书</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（二）投标人基本情况表</w:t>
      </w:r>
    </w:p>
    <w:p>
      <w:pPr>
        <w:autoSpaceDE w:val="0"/>
        <w:autoSpaceDN w:val="0"/>
        <w:adjustRightInd w:val="0"/>
        <w:snapToGrid w:val="0"/>
        <w:spacing w:line="400" w:lineRule="exact"/>
        <w:ind w:firstLine="420" w:firstLineChars="200"/>
        <w:jc w:val="left"/>
        <w:rPr>
          <w:rFonts w:ascii="宋体" w:hAnsi="宋体"/>
        </w:rPr>
      </w:pPr>
      <w:r>
        <w:rPr>
          <w:rFonts w:hint="eastAsia" w:ascii="宋体" w:hAnsi="宋体"/>
        </w:rPr>
        <w:t>（三）人员要求</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（四）信誉声明</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（五）商务部分资料</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（六）其他资料</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3.2  </w:t>
      </w:r>
      <w:r>
        <w:rPr>
          <w:rFonts w:hint="eastAsia" w:ascii="宋体" w:hAnsi="宋体"/>
          <w:b/>
          <w:bCs/>
          <w:snapToGrid w:val="0"/>
          <w:kern w:val="0"/>
          <w:szCs w:val="21"/>
        </w:rPr>
        <w:t>投标报价</w:t>
      </w:r>
      <w:bookmarkEnd w:id="89"/>
      <w:bookmarkEnd w:id="90"/>
      <w:bookmarkEnd w:id="91"/>
    </w:p>
    <w:p>
      <w:pPr>
        <w:autoSpaceDE w:val="0"/>
        <w:autoSpaceDN w:val="0"/>
        <w:adjustRightInd w:val="0"/>
        <w:snapToGrid w:val="0"/>
        <w:spacing w:line="400" w:lineRule="exact"/>
        <w:ind w:firstLine="420"/>
        <w:rPr>
          <w:rFonts w:ascii="宋体" w:hAnsi="宋体"/>
          <w:snapToGrid w:val="0"/>
          <w:kern w:val="0"/>
          <w:szCs w:val="21"/>
        </w:rPr>
      </w:pPr>
      <w:bookmarkStart w:id="92" w:name="_Toc200513147"/>
      <w:r>
        <w:rPr>
          <w:rFonts w:hint="eastAsia" w:ascii="宋体" w:hAnsi="宋体"/>
          <w:snapToGrid w:val="0"/>
          <w:kern w:val="0"/>
          <w:szCs w:val="21"/>
        </w:rPr>
        <w:t>详见投标人须知前附表。</w:t>
      </w:r>
    </w:p>
    <w:p>
      <w:pPr>
        <w:widowControl/>
        <w:snapToGrid w:val="0"/>
        <w:spacing w:line="400" w:lineRule="exact"/>
        <w:jc w:val="left"/>
        <w:outlineLvl w:val="2"/>
        <w:rPr>
          <w:rFonts w:ascii="宋体" w:hAnsi="宋体"/>
          <w:b/>
          <w:bCs/>
          <w:snapToGrid w:val="0"/>
          <w:kern w:val="0"/>
          <w:szCs w:val="21"/>
        </w:rPr>
      </w:pPr>
      <w:bookmarkStart w:id="93" w:name="_Toc291847038"/>
      <w:bookmarkStart w:id="94" w:name="_Toc31736"/>
      <w:r>
        <w:rPr>
          <w:rFonts w:ascii="宋体" w:hAnsi="宋体"/>
          <w:b/>
          <w:bCs/>
          <w:snapToGrid w:val="0"/>
          <w:kern w:val="0"/>
          <w:szCs w:val="21"/>
        </w:rPr>
        <w:t xml:space="preserve">3.3  </w:t>
      </w:r>
      <w:r>
        <w:rPr>
          <w:rFonts w:hint="eastAsia" w:ascii="宋体" w:hAnsi="宋体"/>
          <w:b/>
          <w:bCs/>
          <w:snapToGrid w:val="0"/>
          <w:kern w:val="0"/>
          <w:szCs w:val="21"/>
        </w:rPr>
        <w:t>投标有效期</w:t>
      </w:r>
      <w:bookmarkEnd w:id="92"/>
      <w:bookmarkEnd w:id="93"/>
      <w:bookmarkEnd w:id="94"/>
    </w:p>
    <w:p>
      <w:pPr>
        <w:autoSpaceDE w:val="0"/>
        <w:autoSpaceDN w:val="0"/>
        <w:adjustRightInd w:val="0"/>
        <w:snapToGrid w:val="0"/>
        <w:spacing w:line="400" w:lineRule="exact"/>
        <w:ind w:firstLine="420"/>
        <w:jc w:val="left"/>
        <w:rPr>
          <w:rFonts w:ascii="宋体" w:hAnsi="宋体"/>
          <w:snapToGrid w:val="0"/>
          <w:kern w:val="0"/>
          <w:szCs w:val="21"/>
        </w:rPr>
      </w:pPr>
      <w:bookmarkStart w:id="95" w:name="_Toc291847039"/>
      <w:bookmarkStart w:id="96" w:name="_Toc11334"/>
      <w:bookmarkStart w:id="97" w:name="_Toc200513148"/>
      <w:r>
        <w:rPr>
          <w:rFonts w:ascii="宋体" w:hAnsi="宋体"/>
          <w:snapToGrid w:val="0"/>
          <w:kern w:val="0"/>
          <w:szCs w:val="21"/>
        </w:rPr>
        <w:t xml:space="preserve">3.3.1  </w:t>
      </w:r>
      <w:r>
        <w:rPr>
          <w:rFonts w:hint="eastAsia" w:ascii="宋体" w:hAnsi="宋体"/>
          <w:snapToGrid w:val="0"/>
          <w:kern w:val="0"/>
          <w:szCs w:val="21"/>
        </w:rPr>
        <w:t>在投标人须知前附表规定的投标有效期内，投标人不得要求撤销或修改其投标文件。</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3.3.2  </w:t>
      </w:r>
      <w:r>
        <w:rPr>
          <w:rFonts w:hint="eastAsia" w:ascii="宋体" w:hAnsi="宋体"/>
          <w:snapToGrid w:val="0"/>
          <w:kern w:val="0"/>
          <w:szCs w:val="21"/>
        </w:rPr>
        <w:t>出现特殊情况需要延长投标有效期的，招标人将以</w:t>
      </w:r>
      <w:r>
        <w:rPr>
          <w:rFonts w:ascii="宋体" w:hAnsi="宋体"/>
          <w:szCs w:val="21"/>
        </w:rPr>
        <w:t>通过</w:t>
      </w:r>
      <w:r>
        <w:rPr>
          <w:rFonts w:hint="eastAsia" w:ascii="宋体" w:hAnsi="宋体"/>
          <w:szCs w:val="21"/>
        </w:rPr>
        <w:t>邮件</w:t>
      </w:r>
      <w:r>
        <w:rPr>
          <w:rFonts w:ascii="宋体" w:hAnsi="宋体"/>
          <w:szCs w:val="21"/>
        </w:rPr>
        <w:t>的方式通知投标人</w:t>
      </w:r>
      <w:r>
        <w:rPr>
          <w:rFonts w:hint="eastAsia" w:ascii="宋体" w:hAnsi="宋体"/>
          <w:snapToGrid w:val="0"/>
          <w:kern w:val="0"/>
          <w:szCs w:val="21"/>
        </w:rPr>
        <w:t>延长投标有效期。投标人同意延长的，应相应延长其投标保证金的有效期，但不得要求或被允许修改或撤销其投标文件；投标人拒绝延长的，其投标失效，但投标人有权收回其投标保证金。</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3.4  </w:t>
      </w:r>
      <w:r>
        <w:rPr>
          <w:rFonts w:hint="eastAsia" w:ascii="宋体" w:hAnsi="宋体"/>
          <w:b/>
          <w:bCs/>
          <w:snapToGrid w:val="0"/>
          <w:kern w:val="0"/>
          <w:szCs w:val="21"/>
        </w:rPr>
        <w:t>保证金</w:t>
      </w:r>
      <w:bookmarkEnd w:id="95"/>
      <w:bookmarkEnd w:id="96"/>
      <w:bookmarkEnd w:id="97"/>
    </w:p>
    <w:p>
      <w:pPr>
        <w:autoSpaceDE w:val="0"/>
        <w:autoSpaceDN w:val="0"/>
        <w:adjustRightInd w:val="0"/>
        <w:snapToGrid w:val="0"/>
        <w:spacing w:line="400" w:lineRule="exact"/>
        <w:ind w:firstLine="420"/>
        <w:rPr>
          <w:rFonts w:ascii="宋体" w:hAnsi="宋体"/>
          <w:snapToGrid w:val="0"/>
          <w:kern w:val="0"/>
          <w:szCs w:val="21"/>
        </w:rPr>
      </w:pPr>
      <w:bookmarkStart w:id="98" w:name="_Toc200513150"/>
      <w:bookmarkStart w:id="99" w:name="_Toc20986"/>
      <w:bookmarkStart w:id="100" w:name="_Toc291847040"/>
      <w:r>
        <w:rPr>
          <w:rFonts w:ascii="宋体" w:hAnsi="宋体"/>
          <w:snapToGrid w:val="0"/>
          <w:kern w:val="0"/>
          <w:szCs w:val="21"/>
        </w:rPr>
        <w:t xml:space="preserve">3.4.1 </w:t>
      </w:r>
      <w:r>
        <w:rPr>
          <w:rFonts w:hint="eastAsia" w:ascii="宋体" w:hAnsi="宋体"/>
          <w:snapToGrid w:val="0"/>
          <w:kern w:val="0"/>
          <w:szCs w:val="21"/>
        </w:rPr>
        <w:t>投标人应按投标人须知前附表</w:t>
      </w:r>
      <w:r>
        <w:rPr>
          <w:rFonts w:ascii="宋体" w:hAnsi="宋体"/>
          <w:snapToGrid w:val="0"/>
          <w:kern w:val="0"/>
          <w:szCs w:val="21"/>
        </w:rPr>
        <w:t>3.4.1的规定递交投标保证金，并作为其投标文件的组成部分。</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3.4.2  </w:t>
      </w:r>
      <w:r>
        <w:rPr>
          <w:rFonts w:hint="eastAsia" w:ascii="宋体" w:hAnsi="宋体"/>
          <w:snapToGrid w:val="0"/>
          <w:kern w:val="0"/>
          <w:szCs w:val="21"/>
        </w:rPr>
        <w:t>投标人不按本章第</w:t>
      </w:r>
      <w:r>
        <w:rPr>
          <w:rFonts w:ascii="宋体" w:hAnsi="宋体"/>
          <w:snapToGrid w:val="0"/>
          <w:kern w:val="0"/>
          <w:szCs w:val="21"/>
        </w:rPr>
        <w:t xml:space="preserve"> 3.4.1 </w:t>
      </w:r>
      <w:r>
        <w:rPr>
          <w:rFonts w:hint="eastAsia" w:ascii="宋体" w:hAnsi="宋体"/>
          <w:snapToGrid w:val="0"/>
          <w:kern w:val="0"/>
          <w:szCs w:val="21"/>
        </w:rPr>
        <w:t>项要求提交投标保证金的，其投标文件作否决投标处理。</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3.4.3  </w:t>
      </w:r>
      <w:r>
        <w:rPr>
          <w:rFonts w:hint="eastAsia" w:ascii="宋体" w:hAnsi="宋体"/>
          <w:snapToGrid w:val="0"/>
          <w:kern w:val="0"/>
          <w:szCs w:val="21"/>
        </w:rPr>
        <w:t>投标保证金退还：见投标人须知前附表。</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3.4.4  </w:t>
      </w:r>
      <w:r>
        <w:rPr>
          <w:rFonts w:hint="eastAsia" w:ascii="宋体" w:hAnsi="宋体"/>
          <w:snapToGrid w:val="0"/>
          <w:kern w:val="0"/>
          <w:szCs w:val="21"/>
        </w:rPr>
        <w:t>有下列情形之一的，投标保证金将不予退还：</w:t>
      </w:r>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1）投标人在规定的投标有效期内撤销或修改其投标文件；</w:t>
      </w:r>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2）中标人在收到中标通知书后，无正当理由拒签合同协议书；</w:t>
      </w:r>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3）违反本章9.2条对投标人的纪律要求的；</w:t>
      </w:r>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4）法律法规和本招标文件规定的其他情形。</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3.5  </w:t>
      </w:r>
      <w:r>
        <w:rPr>
          <w:rFonts w:hint="eastAsia" w:ascii="宋体" w:hAnsi="宋体"/>
          <w:b/>
          <w:bCs/>
          <w:snapToGrid w:val="0"/>
          <w:kern w:val="0"/>
          <w:szCs w:val="21"/>
        </w:rPr>
        <w:t>资格审查资料</w:t>
      </w:r>
      <w:bookmarkEnd w:id="98"/>
      <w:bookmarkEnd w:id="99"/>
      <w:bookmarkEnd w:id="100"/>
    </w:p>
    <w:p>
      <w:pPr>
        <w:autoSpaceDE w:val="0"/>
        <w:autoSpaceDN w:val="0"/>
        <w:adjustRightInd w:val="0"/>
        <w:snapToGrid w:val="0"/>
        <w:spacing w:line="400" w:lineRule="exact"/>
        <w:ind w:firstLine="420" w:firstLineChars="200"/>
        <w:rPr>
          <w:rFonts w:ascii="宋体" w:hAnsi="宋体"/>
          <w:snapToGrid w:val="0"/>
          <w:kern w:val="0"/>
          <w:szCs w:val="21"/>
        </w:rPr>
      </w:pPr>
      <w:r>
        <w:rPr>
          <w:rFonts w:hint="eastAsia" w:ascii="宋体" w:hAnsi="宋体"/>
          <w:snapToGrid w:val="0"/>
          <w:kern w:val="0"/>
          <w:szCs w:val="21"/>
        </w:rPr>
        <w:t>见投标人须知前附表。</w:t>
      </w:r>
    </w:p>
    <w:p>
      <w:pPr>
        <w:widowControl/>
        <w:snapToGrid w:val="0"/>
        <w:spacing w:line="400" w:lineRule="exact"/>
        <w:jc w:val="left"/>
        <w:outlineLvl w:val="2"/>
        <w:rPr>
          <w:rFonts w:ascii="宋体" w:hAnsi="宋体"/>
          <w:b/>
          <w:bCs/>
          <w:snapToGrid w:val="0"/>
          <w:kern w:val="0"/>
          <w:szCs w:val="21"/>
        </w:rPr>
      </w:pPr>
      <w:bookmarkStart w:id="101" w:name="_Toc1525"/>
      <w:bookmarkStart w:id="102" w:name="_Toc291847041"/>
      <w:bookmarkStart w:id="103" w:name="_Toc200513151"/>
      <w:r>
        <w:rPr>
          <w:rFonts w:ascii="宋体" w:hAnsi="宋体"/>
          <w:b/>
          <w:bCs/>
          <w:snapToGrid w:val="0"/>
          <w:kern w:val="0"/>
          <w:szCs w:val="21"/>
        </w:rPr>
        <w:t xml:space="preserve">3.6  </w:t>
      </w:r>
      <w:r>
        <w:rPr>
          <w:rFonts w:hint="eastAsia" w:ascii="宋体" w:hAnsi="宋体"/>
          <w:b/>
          <w:bCs/>
          <w:snapToGrid w:val="0"/>
          <w:kern w:val="0"/>
          <w:szCs w:val="21"/>
        </w:rPr>
        <w:t>备选投标方案</w:t>
      </w:r>
      <w:bookmarkEnd w:id="101"/>
      <w:bookmarkEnd w:id="102"/>
      <w:bookmarkEnd w:id="103"/>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除投标人须知前附表另有规定外，投标人不得递交备选投标方案。允许投标人递交备选投标方案的，只有中标人所递交的备选投标方案方可予以考虑。评标委员会认为中标人的备选方案优于其按照招标文件要求编制的投标方案的，招标人可以接受该备选投标方案。</w:t>
      </w:r>
    </w:p>
    <w:p>
      <w:pPr>
        <w:widowControl/>
        <w:snapToGrid w:val="0"/>
        <w:spacing w:line="400" w:lineRule="exact"/>
        <w:jc w:val="left"/>
        <w:outlineLvl w:val="2"/>
        <w:rPr>
          <w:rFonts w:ascii="宋体" w:hAnsi="宋体"/>
          <w:b/>
          <w:bCs/>
          <w:snapToGrid w:val="0"/>
          <w:kern w:val="0"/>
          <w:szCs w:val="21"/>
        </w:rPr>
      </w:pPr>
      <w:bookmarkStart w:id="104" w:name="_Toc24559"/>
      <w:bookmarkStart w:id="105" w:name="_Toc200513152"/>
      <w:bookmarkStart w:id="106" w:name="_Toc291847042"/>
      <w:r>
        <w:rPr>
          <w:rFonts w:ascii="宋体" w:hAnsi="宋体"/>
          <w:b/>
          <w:bCs/>
          <w:snapToGrid w:val="0"/>
          <w:kern w:val="0"/>
          <w:szCs w:val="21"/>
        </w:rPr>
        <w:t xml:space="preserve">3.7  </w:t>
      </w:r>
      <w:r>
        <w:rPr>
          <w:rFonts w:hint="eastAsia" w:ascii="宋体" w:hAnsi="宋体"/>
          <w:b/>
          <w:bCs/>
          <w:snapToGrid w:val="0"/>
          <w:kern w:val="0"/>
          <w:szCs w:val="21"/>
        </w:rPr>
        <w:t>投标文件的编制</w:t>
      </w:r>
      <w:bookmarkEnd w:id="104"/>
      <w:bookmarkEnd w:id="105"/>
      <w:bookmarkEnd w:id="106"/>
    </w:p>
    <w:p>
      <w:pPr>
        <w:autoSpaceDE w:val="0"/>
        <w:autoSpaceDN w:val="0"/>
        <w:adjustRightInd w:val="0"/>
        <w:snapToGrid w:val="0"/>
        <w:spacing w:line="400" w:lineRule="exact"/>
        <w:ind w:firstLine="420"/>
        <w:rPr>
          <w:rFonts w:ascii="宋体" w:hAnsi="宋体"/>
          <w:snapToGrid w:val="0"/>
          <w:kern w:val="0"/>
          <w:szCs w:val="21"/>
        </w:rPr>
      </w:pPr>
      <w:bookmarkStart w:id="107" w:name="_Toc180"/>
      <w:bookmarkStart w:id="108" w:name="_Toc200513153"/>
      <w:bookmarkStart w:id="109" w:name="_Toc291847043"/>
      <w:r>
        <w:rPr>
          <w:rFonts w:ascii="宋体" w:hAnsi="宋体"/>
          <w:snapToGrid w:val="0"/>
          <w:kern w:val="0"/>
          <w:szCs w:val="21"/>
        </w:rPr>
        <w:t xml:space="preserve">3.7.1  </w:t>
      </w:r>
      <w:r>
        <w:rPr>
          <w:rFonts w:hint="eastAsia" w:ascii="宋体" w:hAnsi="宋体"/>
          <w:snapToGrid w:val="0"/>
          <w:kern w:val="0"/>
          <w:szCs w:val="21"/>
        </w:rPr>
        <w:t>投标文件应按第六章“投标文件格式”进行编写，如有必要，可以增加附页，作为投标文件的组成部分。</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3.7.2  </w:t>
      </w:r>
      <w:r>
        <w:rPr>
          <w:rFonts w:hint="eastAsia" w:ascii="宋体" w:hAnsi="宋体"/>
          <w:snapToGrid w:val="0"/>
          <w:kern w:val="0"/>
          <w:szCs w:val="21"/>
        </w:rPr>
        <w:t>投标文件应当对招标文件有关工期、投标有效期、质量要求、技术标准和要求、招标范围等实质性内容做出书面响应。</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3.7.3  </w:t>
      </w:r>
      <w:r>
        <w:rPr>
          <w:rFonts w:hint="eastAsia" w:ascii="宋体" w:hAnsi="宋体"/>
          <w:snapToGrid w:val="0"/>
          <w:kern w:val="0"/>
          <w:szCs w:val="21"/>
        </w:rPr>
        <w:t>投标文件应用不褪色的材料书写或打印，并由投标人的法定代表人或其委托代理人签字、盖单位章。委托代理人签字的，投标文件应附法定代表人签署的授权委托书。投标文件应尽量避免涂改、行间插字或删除。如果出现上述情况，改动之处应加盖单位公章或由投标人的法定代表人或其授权的代理人签字确认。</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3.7.4  </w:t>
      </w:r>
      <w:r>
        <w:rPr>
          <w:rFonts w:hint="eastAsia" w:ascii="宋体" w:hAnsi="宋体"/>
          <w:snapToGrid w:val="0"/>
          <w:kern w:val="0"/>
          <w:szCs w:val="21"/>
        </w:rPr>
        <w:t>投标文件正本一份，副本份数见投标人须知前附表。正本和副本的封面上应清楚地标记“正本”或“副本”的字样，正本和副本封面均须加盖单位公章（鲜章）。当副本和正本不一致时，以正本为准。</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3.7.5  </w:t>
      </w:r>
      <w:r>
        <w:rPr>
          <w:rFonts w:hint="eastAsia" w:ascii="宋体" w:hAnsi="宋体"/>
          <w:snapToGrid w:val="0"/>
          <w:kern w:val="0"/>
          <w:szCs w:val="21"/>
        </w:rPr>
        <w:t>投标文件的正本与副本应分别装订成册，并编制目录，具体装订要求见投标人须知前附表规定。</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4.  </w:t>
      </w:r>
      <w:r>
        <w:rPr>
          <w:rFonts w:hint="eastAsia" w:ascii="宋体" w:hAnsi="宋体"/>
          <w:b/>
          <w:bCs/>
          <w:snapToGrid w:val="0"/>
          <w:kern w:val="0"/>
          <w:szCs w:val="21"/>
        </w:rPr>
        <w:t>投标</w:t>
      </w:r>
      <w:bookmarkEnd w:id="107"/>
      <w:bookmarkEnd w:id="108"/>
      <w:bookmarkEnd w:id="109"/>
    </w:p>
    <w:p>
      <w:pPr>
        <w:widowControl/>
        <w:snapToGrid w:val="0"/>
        <w:spacing w:line="400" w:lineRule="exact"/>
        <w:jc w:val="left"/>
        <w:outlineLvl w:val="2"/>
        <w:rPr>
          <w:rFonts w:ascii="宋体" w:hAnsi="宋体"/>
          <w:b/>
          <w:bCs/>
          <w:snapToGrid w:val="0"/>
          <w:kern w:val="0"/>
          <w:szCs w:val="21"/>
        </w:rPr>
      </w:pPr>
      <w:bookmarkStart w:id="110" w:name="_Toc291847044"/>
      <w:bookmarkStart w:id="111" w:name="_Toc8442"/>
      <w:bookmarkStart w:id="112" w:name="_Toc200513154"/>
      <w:r>
        <w:rPr>
          <w:rFonts w:ascii="宋体" w:hAnsi="宋体"/>
          <w:b/>
          <w:bCs/>
          <w:snapToGrid w:val="0"/>
          <w:kern w:val="0"/>
          <w:szCs w:val="21"/>
        </w:rPr>
        <w:t xml:space="preserve">4.1  </w:t>
      </w:r>
      <w:r>
        <w:rPr>
          <w:rFonts w:hint="eastAsia" w:ascii="宋体" w:hAnsi="宋体"/>
          <w:b/>
          <w:bCs/>
          <w:snapToGrid w:val="0"/>
          <w:kern w:val="0"/>
          <w:szCs w:val="21"/>
        </w:rPr>
        <w:t>投标文件的密封和标记</w:t>
      </w:r>
      <w:bookmarkEnd w:id="110"/>
      <w:bookmarkEnd w:id="111"/>
      <w:bookmarkEnd w:id="112"/>
    </w:p>
    <w:p>
      <w:pPr>
        <w:autoSpaceDE w:val="0"/>
        <w:autoSpaceDN w:val="0"/>
        <w:adjustRightInd w:val="0"/>
        <w:snapToGrid w:val="0"/>
        <w:spacing w:line="400" w:lineRule="exact"/>
        <w:ind w:left="359" w:leftChars="171"/>
        <w:jc w:val="left"/>
        <w:rPr>
          <w:rFonts w:ascii="宋体" w:hAnsi="宋体"/>
          <w:snapToGrid w:val="0"/>
          <w:kern w:val="0"/>
          <w:szCs w:val="21"/>
        </w:rPr>
      </w:pPr>
      <w:bookmarkStart w:id="113" w:name="_Toc200513155"/>
      <w:r>
        <w:rPr>
          <w:rFonts w:ascii="宋体" w:hAnsi="宋体"/>
          <w:snapToGrid w:val="0"/>
          <w:kern w:val="0"/>
          <w:szCs w:val="21"/>
        </w:rPr>
        <w:t xml:space="preserve">4.1.1  </w:t>
      </w:r>
      <w:r>
        <w:rPr>
          <w:rFonts w:hint="eastAsia" w:ascii="宋体" w:hAnsi="宋体"/>
          <w:snapToGrid w:val="0"/>
          <w:kern w:val="0"/>
          <w:szCs w:val="21"/>
        </w:rPr>
        <w:t>投标文件的正本与副本密封见投标人须知前附表。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4.1.2  </w:t>
      </w:r>
      <w:r>
        <w:rPr>
          <w:rFonts w:hint="eastAsia" w:ascii="宋体" w:hAnsi="宋体"/>
          <w:snapToGrid w:val="0"/>
          <w:kern w:val="0"/>
          <w:szCs w:val="21"/>
        </w:rPr>
        <w:t>投标文件的封套上应写明的内容见投标人须知前附表。</w:t>
      </w:r>
    </w:p>
    <w:p>
      <w:pPr>
        <w:autoSpaceDE w:val="0"/>
        <w:autoSpaceDN w:val="0"/>
        <w:adjustRightInd w:val="0"/>
        <w:snapToGrid w:val="0"/>
        <w:spacing w:line="400" w:lineRule="exact"/>
        <w:ind w:left="13" w:leftChars="6" w:firstLine="344" w:firstLineChars="164"/>
        <w:jc w:val="left"/>
        <w:rPr>
          <w:rFonts w:ascii="宋体" w:hAnsi="宋体"/>
          <w:snapToGrid w:val="0"/>
          <w:kern w:val="0"/>
          <w:szCs w:val="21"/>
        </w:rPr>
      </w:pPr>
    </w:p>
    <w:p>
      <w:pPr>
        <w:autoSpaceDE w:val="0"/>
        <w:autoSpaceDN w:val="0"/>
        <w:adjustRightInd w:val="0"/>
        <w:snapToGrid w:val="0"/>
        <w:spacing w:line="400" w:lineRule="exact"/>
        <w:ind w:left="13" w:leftChars="6" w:firstLine="344" w:firstLineChars="164"/>
        <w:jc w:val="left"/>
        <w:rPr>
          <w:rFonts w:ascii="宋体" w:hAnsi="宋体"/>
          <w:snapToGrid w:val="0"/>
          <w:kern w:val="0"/>
          <w:szCs w:val="21"/>
        </w:rPr>
      </w:pPr>
      <w:r>
        <w:rPr>
          <w:rFonts w:ascii="宋体" w:hAnsi="宋体"/>
          <w:snapToGrid w:val="0"/>
          <w:kern w:val="0"/>
          <w:szCs w:val="21"/>
        </w:rPr>
        <w:t xml:space="preserve">4.1.3  </w:t>
      </w:r>
      <w:r>
        <w:rPr>
          <w:rFonts w:hint="eastAsia" w:ascii="宋体" w:hAnsi="宋体"/>
          <w:snapToGrid w:val="0"/>
          <w:kern w:val="0"/>
          <w:szCs w:val="21"/>
        </w:rPr>
        <w:t>未按本章第</w:t>
      </w:r>
      <w:r>
        <w:rPr>
          <w:rFonts w:ascii="宋体" w:hAnsi="宋体"/>
          <w:snapToGrid w:val="0"/>
          <w:kern w:val="0"/>
          <w:szCs w:val="21"/>
        </w:rPr>
        <w:t xml:space="preserve"> 4.1.1 </w:t>
      </w:r>
      <w:r>
        <w:rPr>
          <w:rFonts w:hint="eastAsia" w:ascii="宋体" w:hAnsi="宋体"/>
          <w:snapToGrid w:val="0"/>
          <w:kern w:val="0"/>
          <w:szCs w:val="21"/>
        </w:rPr>
        <w:t>项或第</w:t>
      </w:r>
      <w:r>
        <w:rPr>
          <w:rFonts w:ascii="宋体" w:hAnsi="宋体"/>
          <w:snapToGrid w:val="0"/>
          <w:kern w:val="0"/>
          <w:szCs w:val="21"/>
        </w:rPr>
        <w:t xml:space="preserve"> 4.1.2 </w:t>
      </w:r>
      <w:r>
        <w:rPr>
          <w:rFonts w:hint="eastAsia" w:ascii="宋体" w:hAnsi="宋体"/>
          <w:snapToGrid w:val="0"/>
          <w:kern w:val="0"/>
          <w:szCs w:val="21"/>
        </w:rPr>
        <w:t>项要求密封和加写标记的投标文件，招标人不予受理。</w:t>
      </w:r>
    </w:p>
    <w:p>
      <w:pPr>
        <w:widowControl/>
        <w:snapToGrid w:val="0"/>
        <w:spacing w:line="400" w:lineRule="exact"/>
        <w:jc w:val="left"/>
        <w:outlineLvl w:val="2"/>
        <w:rPr>
          <w:rFonts w:ascii="宋体" w:hAnsi="宋体"/>
          <w:b/>
          <w:bCs/>
          <w:snapToGrid w:val="0"/>
          <w:kern w:val="0"/>
          <w:szCs w:val="21"/>
        </w:rPr>
      </w:pPr>
      <w:bookmarkStart w:id="114" w:name="_Toc291847045"/>
      <w:bookmarkStart w:id="115" w:name="_Toc19547"/>
      <w:r>
        <w:rPr>
          <w:rFonts w:ascii="宋体" w:hAnsi="宋体"/>
          <w:b/>
          <w:bCs/>
          <w:snapToGrid w:val="0"/>
          <w:kern w:val="0"/>
          <w:szCs w:val="21"/>
        </w:rPr>
        <w:t xml:space="preserve">4.2  </w:t>
      </w:r>
      <w:r>
        <w:rPr>
          <w:rFonts w:hint="eastAsia" w:ascii="宋体" w:hAnsi="宋体"/>
          <w:b/>
          <w:bCs/>
          <w:snapToGrid w:val="0"/>
          <w:kern w:val="0"/>
          <w:szCs w:val="21"/>
        </w:rPr>
        <w:t>投标文件的递交</w:t>
      </w:r>
      <w:bookmarkEnd w:id="113"/>
      <w:bookmarkEnd w:id="114"/>
      <w:bookmarkEnd w:id="115"/>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4.2.1  </w:t>
      </w:r>
      <w:r>
        <w:rPr>
          <w:rFonts w:hint="eastAsia" w:ascii="宋体" w:hAnsi="宋体"/>
          <w:snapToGrid w:val="0"/>
          <w:kern w:val="0"/>
          <w:szCs w:val="21"/>
        </w:rPr>
        <w:t>投标人应在投标人须知前附表规定的投标截止时间前递交投标文件。</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4.2.2  </w:t>
      </w:r>
      <w:r>
        <w:rPr>
          <w:rFonts w:hint="eastAsia" w:ascii="宋体" w:hAnsi="宋体"/>
          <w:snapToGrid w:val="0"/>
          <w:kern w:val="0"/>
          <w:szCs w:val="21"/>
        </w:rPr>
        <w:t>投标人递交投标文件的地点：见投标人须知前附表。</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4.2.3  </w:t>
      </w:r>
      <w:r>
        <w:rPr>
          <w:rFonts w:hint="eastAsia" w:ascii="宋体" w:hAnsi="宋体"/>
          <w:snapToGrid w:val="0"/>
          <w:kern w:val="0"/>
          <w:szCs w:val="21"/>
        </w:rPr>
        <w:t>除投标人须知前附表另有规定外，投标人所递交的投标文件不予退还。</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4.2.4  </w:t>
      </w:r>
      <w:r>
        <w:rPr>
          <w:rFonts w:hint="eastAsia" w:ascii="宋体" w:hAnsi="宋体"/>
          <w:snapToGrid w:val="0"/>
          <w:kern w:val="0"/>
          <w:szCs w:val="21"/>
        </w:rPr>
        <w:t>招标人收到投标文件后，向投标人出具签收凭证。</w:t>
      </w:r>
    </w:p>
    <w:p>
      <w:pPr>
        <w:autoSpaceDE w:val="0"/>
        <w:autoSpaceDN w:val="0"/>
        <w:adjustRightInd w:val="0"/>
        <w:snapToGrid w:val="0"/>
        <w:spacing w:line="400" w:lineRule="exact"/>
        <w:ind w:left="359" w:leftChars="171"/>
        <w:jc w:val="left"/>
        <w:rPr>
          <w:rFonts w:ascii="宋体" w:hAnsi="宋体"/>
          <w:snapToGrid w:val="0"/>
          <w:kern w:val="0"/>
          <w:szCs w:val="21"/>
        </w:rPr>
      </w:pPr>
      <w:r>
        <w:rPr>
          <w:rFonts w:ascii="宋体" w:hAnsi="宋体"/>
          <w:snapToGrid w:val="0"/>
          <w:kern w:val="0"/>
          <w:szCs w:val="21"/>
        </w:rPr>
        <w:t xml:space="preserve">4.2.5  </w:t>
      </w:r>
      <w:r>
        <w:rPr>
          <w:rFonts w:hint="eastAsia" w:ascii="宋体" w:hAnsi="宋体"/>
          <w:snapToGrid w:val="0"/>
          <w:kern w:val="0"/>
          <w:szCs w:val="21"/>
        </w:rPr>
        <w:t>逾期送达的或者未送达指定地点的投标文件，招标人不予受理。</w:t>
      </w:r>
    </w:p>
    <w:p>
      <w:pPr>
        <w:widowControl/>
        <w:snapToGrid w:val="0"/>
        <w:spacing w:line="400" w:lineRule="exact"/>
        <w:jc w:val="left"/>
        <w:outlineLvl w:val="2"/>
        <w:rPr>
          <w:rFonts w:ascii="宋体" w:hAnsi="宋体"/>
          <w:b/>
          <w:bCs/>
          <w:snapToGrid w:val="0"/>
          <w:kern w:val="0"/>
          <w:szCs w:val="21"/>
        </w:rPr>
      </w:pPr>
      <w:bookmarkStart w:id="116" w:name="_Toc291847046"/>
      <w:bookmarkStart w:id="117" w:name="_Toc200513156"/>
      <w:bookmarkStart w:id="118" w:name="_Toc10701"/>
      <w:r>
        <w:rPr>
          <w:rFonts w:ascii="宋体" w:hAnsi="宋体"/>
          <w:b/>
          <w:bCs/>
          <w:snapToGrid w:val="0"/>
          <w:kern w:val="0"/>
          <w:szCs w:val="21"/>
        </w:rPr>
        <w:t xml:space="preserve">4.3  </w:t>
      </w:r>
      <w:r>
        <w:rPr>
          <w:rFonts w:hint="eastAsia" w:ascii="宋体" w:hAnsi="宋体"/>
          <w:b/>
          <w:bCs/>
          <w:snapToGrid w:val="0"/>
          <w:kern w:val="0"/>
          <w:szCs w:val="21"/>
        </w:rPr>
        <w:t>投标文件的修改与撤回</w:t>
      </w:r>
      <w:bookmarkEnd w:id="116"/>
      <w:bookmarkEnd w:id="117"/>
      <w:bookmarkEnd w:id="118"/>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4.3.1  </w:t>
      </w:r>
      <w:r>
        <w:rPr>
          <w:rFonts w:hint="eastAsia" w:ascii="宋体" w:hAnsi="宋体"/>
          <w:snapToGrid w:val="0"/>
          <w:kern w:val="0"/>
          <w:szCs w:val="21"/>
        </w:rPr>
        <w:t>在本章投标人须知前附表</w:t>
      </w:r>
      <w:r>
        <w:rPr>
          <w:rFonts w:ascii="宋体" w:hAnsi="宋体"/>
          <w:snapToGrid w:val="0"/>
          <w:kern w:val="0"/>
          <w:szCs w:val="21"/>
        </w:rPr>
        <w:t>规定的投标截止时间前，投标人可以修改或撤回已递交的投标文件，但应以书面形式通知招标人。</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4.3.2  </w:t>
      </w:r>
      <w:r>
        <w:rPr>
          <w:rFonts w:hint="eastAsia" w:ascii="宋体" w:hAnsi="宋体"/>
          <w:snapToGrid w:val="0"/>
          <w:kern w:val="0"/>
          <w:szCs w:val="21"/>
        </w:rPr>
        <w:t>投标人修改或撤回已递交投标文件的书面通知应按照本章第</w:t>
      </w:r>
      <w:r>
        <w:rPr>
          <w:rFonts w:ascii="宋体" w:hAnsi="宋体"/>
          <w:snapToGrid w:val="0"/>
          <w:kern w:val="0"/>
          <w:szCs w:val="21"/>
        </w:rPr>
        <w:t>3.7.3项的要求签字或盖章。招标人收到书面通知后，向投标人出具签收凭证。</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4.3.3  </w:t>
      </w:r>
      <w:r>
        <w:rPr>
          <w:rFonts w:hint="eastAsia" w:ascii="宋体" w:hAnsi="宋体"/>
          <w:snapToGrid w:val="0"/>
          <w:kern w:val="0"/>
          <w:szCs w:val="21"/>
        </w:rPr>
        <w:t>修改的内容为投标文件的组成部分。修改的投标文件应按照本章第</w:t>
      </w:r>
      <w:r>
        <w:rPr>
          <w:rFonts w:ascii="宋体" w:hAnsi="宋体"/>
          <w:snapToGrid w:val="0"/>
          <w:kern w:val="0"/>
          <w:szCs w:val="21"/>
        </w:rPr>
        <w:t>3条、第4条规定进行编制、密封、标记和递交，并标明“修改”字样。</w:t>
      </w:r>
    </w:p>
    <w:p>
      <w:pPr>
        <w:widowControl/>
        <w:snapToGrid w:val="0"/>
        <w:spacing w:line="400" w:lineRule="exact"/>
        <w:jc w:val="left"/>
        <w:outlineLvl w:val="2"/>
        <w:rPr>
          <w:rFonts w:ascii="宋体" w:hAnsi="宋体"/>
          <w:b/>
          <w:bCs/>
          <w:snapToGrid w:val="0"/>
          <w:kern w:val="0"/>
          <w:szCs w:val="21"/>
        </w:rPr>
      </w:pPr>
      <w:bookmarkStart w:id="119" w:name="_Toc9765"/>
      <w:bookmarkStart w:id="120" w:name="_Toc200513157"/>
      <w:bookmarkStart w:id="121" w:name="_Toc291847047"/>
      <w:r>
        <w:rPr>
          <w:rFonts w:ascii="宋体" w:hAnsi="宋体"/>
          <w:b/>
          <w:bCs/>
          <w:snapToGrid w:val="0"/>
          <w:kern w:val="0"/>
          <w:szCs w:val="21"/>
        </w:rPr>
        <w:t xml:space="preserve">5.  </w:t>
      </w:r>
      <w:r>
        <w:rPr>
          <w:rFonts w:hint="eastAsia" w:ascii="宋体" w:hAnsi="宋体"/>
          <w:b/>
          <w:bCs/>
          <w:snapToGrid w:val="0"/>
          <w:kern w:val="0"/>
          <w:szCs w:val="21"/>
        </w:rPr>
        <w:t>开标</w:t>
      </w:r>
      <w:bookmarkEnd w:id="119"/>
      <w:bookmarkEnd w:id="120"/>
      <w:bookmarkEnd w:id="121"/>
    </w:p>
    <w:p>
      <w:pPr>
        <w:widowControl/>
        <w:snapToGrid w:val="0"/>
        <w:spacing w:line="400" w:lineRule="exact"/>
        <w:jc w:val="left"/>
        <w:outlineLvl w:val="2"/>
        <w:rPr>
          <w:rFonts w:ascii="宋体" w:hAnsi="宋体"/>
          <w:b/>
          <w:bCs/>
          <w:snapToGrid w:val="0"/>
          <w:kern w:val="0"/>
          <w:szCs w:val="21"/>
        </w:rPr>
      </w:pPr>
      <w:bookmarkStart w:id="122" w:name="_Toc291847048"/>
      <w:bookmarkStart w:id="123" w:name="_Toc200513158"/>
      <w:bookmarkStart w:id="124" w:name="_Toc6341"/>
      <w:r>
        <w:rPr>
          <w:rFonts w:ascii="宋体" w:hAnsi="宋体"/>
          <w:b/>
          <w:bCs/>
          <w:snapToGrid w:val="0"/>
          <w:kern w:val="0"/>
          <w:szCs w:val="21"/>
        </w:rPr>
        <w:t xml:space="preserve">5.1  </w:t>
      </w:r>
      <w:r>
        <w:rPr>
          <w:rFonts w:hint="eastAsia" w:ascii="宋体" w:hAnsi="宋体"/>
          <w:b/>
          <w:bCs/>
          <w:snapToGrid w:val="0"/>
          <w:kern w:val="0"/>
          <w:szCs w:val="21"/>
        </w:rPr>
        <w:t>开标时间和地点</w:t>
      </w:r>
      <w:bookmarkEnd w:id="122"/>
      <w:bookmarkEnd w:id="123"/>
      <w:bookmarkEnd w:id="124"/>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招标人在投标人须知前附表规定的投标截止时间（开标时间）和投标人须知前附表规定的地点公开开标，所有投标人的法定代表人或其委托代理人准时参加。</w:t>
      </w:r>
    </w:p>
    <w:p>
      <w:pPr>
        <w:widowControl/>
        <w:snapToGrid w:val="0"/>
        <w:spacing w:line="400" w:lineRule="exact"/>
        <w:jc w:val="left"/>
        <w:outlineLvl w:val="2"/>
        <w:rPr>
          <w:rFonts w:ascii="宋体" w:hAnsi="宋体"/>
          <w:b/>
          <w:bCs/>
          <w:snapToGrid w:val="0"/>
          <w:kern w:val="0"/>
          <w:szCs w:val="21"/>
        </w:rPr>
      </w:pPr>
      <w:bookmarkStart w:id="125" w:name="_Toc22750"/>
      <w:bookmarkStart w:id="126" w:name="_Toc291847049"/>
      <w:bookmarkStart w:id="127" w:name="_Toc200513159"/>
      <w:r>
        <w:rPr>
          <w:rFonts w:ascii="宋体" w:hAnsi="宋体"/>
          <w:b/>
          <w:bCs/>
          <w:snapToGrid w:val="0"/>
          <w:kern w:val="0"/>
          <w:szCs w:val="21"/>
        </w:rPr>
        <w:t xml:space="preserve">5.2  </w:t>
      </w:r>
      <w:r>
        <w:rPr>
          <w:rFonts w:hint="eastAsia" w:ascii="宋体" w:hAnsi="宋体"/>
          <w:b/>
          <w:bCs/>
          <w:snapToGrid w:val="0"/>
          <w:kern w:val="0"/>
          <w:szCs w:val="21"/>
        </w:rPr>
        <w:t>开标程序</w:t>
      </w:r>
      <w:bookmarkEnd w:id="125"/>
      <w:bookmarkEnd w:id="126"/>
      <w:bookmarkEnd w:id="127"/>
    </w:p>
    <w:p>
      <w:pPr>
        <w:widowControl/>
        <w:snapToGrid w:val="0"/>
        <w:spacing w:line="400" w:lineRule="exact"/>
        <w:jc w:val="left"/>
        <w:outlineLvl w:val="2"/>
        <w:rPr>
          <w:rFonts w:ascii="宋体" w:hAnsi="宋体"/>
          <w:b/>
          <w:bCs/>
          <w:snapToGrid w:val="0"/>
          <w:kern w:val="0"/>
          <w:szCs w:val="21"/>
        </w:rPr>
      </w:pPr>
      <w:r>
        <w:rPr>
          <w:rFonts w:hint="eastAsia" w:ascii="宋体" w:hAnsi="宋体"/>
          <w:b/>
          <w:bCs/>
          <w:snapToGrid w:val="0"/>
          <w:kern w:val="0"/>
          <w:szCs w:val="21"/>
        </w:rPr>
        <w:t>详投标须知前附表</w:t>
      </w:r>
      <w:r>
        <w:rPr>
          <w:rFonts w:ascii="宋体" w:hAnsi="宋体"/>
          <w:b/>
          <w:bCs/>
          <w:snapToGrid w:val="0"/>
          <w:kern w:val="0"/>
          <w:szCs w:val="21"/>
        </w:rPr>
        <w:t>5.2项要求。</w:t>
      </w:r>
    </w:p>
    <w:p>
      <w:pPr>
        <w:widowControl/>
        <w:snapToGrid w:val="0"/>
        <w:spacing w:line="400" w:lineRule="exact"/>
        <w:jc w:val="left"/>
        <w:outlineLvl w:val="2"/>
        <w:rPr>
          <w:rFonts w:ascii="宋体" w:hAnsi="宋体"/>
          <w:b/>
          <w:bCs/>
          <w:snapToGrid w:val="0"/>
          <w:kern w:val="0"/>
          <w:szCs w:val="21"/>
        </w:rPr>
      </w:pPr>
      <w:bookmarkStart w:id="128" w:name="_Toc200513160"/>
      <w:bookmarkStart w:id="129" w:name="_Toc9171"/>
      <w:bookmarkStart w:id="130" w:name="_Toc291847050"/>
      <w:r>
        <w:rPr>
          <w:rFonts w:ascii="宋体" w:hAnsi="宋体"/>
          <w:b/>
          <w:bCs/>
          <w:snapToGrid w:val="0"/>
          <w:kern w:val="0"/>
          <w:szCs w:val="21"/>
        </w:rPr>
        <w:t xml:space="preserve">6.  </w:t>
      </w:r>
      <w:r>
        <w:rPr>
          <w:rFonts w:hint="eastAsia" w:ascii="宋体" w:hAnsi="宋体"/>
          <w:b/>
          <w:bCs/>
          <w:snapToGrid w:val="0"/>
          <w:kern w:val="0"/>
          <w:szCs w:val="21"/>
        </w:rPr>
        <w:t>评标</w:t>
      </w:r>
      <w:bookmarkEnd w:id="128"/>
      <w:bookmarkEnd w:id="129"/>
      <w:bookmarkEnd w:id="130"/>
    </w:p>
    <w:p>
      <w:pPr>
        <w:widowControl/>
        <w:snapToGrid w:val="0"/>
        <w:spacing w:line="400" w:lineRule="exact"/>
        <w:jc w:val="left"/>
        <w:outlineLvl w:val="2"/>
        <w:rPr>
          <w:rFonts w:ascii="宋体" w:hAnsi="宋体"/>
          <w:b/>
          <w:bCs/>
          <w:snapToGrid w:val="0"/>
          <w:kern w:val="0"/>
          <w:szCs w:val="21"/>
        </w:rPr>
      </w:pPr>
      <w:bookmarkStart w:id="131" w:name="_Toc26536"/>
      <w:bookmarkStart w:id="132" w:name="_Toc200513161"/>
      <w:bookmarkStart w:id="133" w:name="_Toc291847051"/>
      <w:r>
        <w:rPr>
          <w:rFonts w:ascii="宋体" w:hAnsi="宋体"/>
          <w:b/>
          <w:bCs/>
          <w:snapToGrid w:val="0"/>
          <w:kern w:val="0"/>
          <w:szCs w:val="21"/>
        </w:rPr>
        <w:t xml:space="preserve">6.1  </w:t>
      </w:r>
      <w:r>
        <w:rPr>
          <w:rFonts w:hint="eastAsia" w:ascii="宋体" w:hAnsi="宋体"/>
          <w:b/>
          <w:bCs/>
          <w:snapToGrid w:val="0"/>
          <w:kern w:val="0"/>
          <w:szCs w:val="21"/>
        </w:rPr>
        <w:t>评标委员会</w:t>
      </w:r>
      <w:bookmarkEnd w:id="131"/>
      <w:bookmarkEnd w:id="132"/>
      <w:bookmarkEnd w:id="133"/>
    </w:p>
    <w:p>
      <w:pPr>
        <w:autoSpaceDE w:val="0"/>
        <w:autoSpaceDN w:val="0"/>
        <w:adjustRightInd w:val="0"/>
        <w:snapToGrid w:val="0"/>
        <w:spacing w:line="400" w:lineRule="exact"/>
        <w:ind w:firstLine="420" w:firstLineChars="200"/>
        <w:jc w:val="left"/>
        <w:rPr>
          <w:rFonts w:ascii="宋体" w:hAnsi="宋体"/>
          <w:snapToGrid w:val="0"/>
          <w:kern w:val="0"/>
          <w:szCs w:val="21"/>
        </w:rPr>
      </w:pPr>
      <w:bookmarkStart w:id="134" w:name="_Toc291847052"/>
      <w:bookmarkStart w:id="135" w:name="_Toc200513162"/>
      <w:bookmarkStart w:id="136" w:name="_Toc6847"/>
      <w:r>
        <w:rPr>
          <w:rFonts w:ascii="宋体" w:hAnsi="宋体"/>
          <w:snapToGrid w:val="0"/>
          <w:kern w:val="0"/>
          <w:szCs w:val="21"/>
        </w:rPr>
        <w:t>6.1.1评标由招标人依据法律法规和相关规范性文件组建的评标委员会负责。</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ascii="宋体" w:hAnsi="宋体"/>
          <w:snapToGrid w:val="0"/>
          <w:kern w:val="0"/>
          <w:szCs w:val="21"/>
        </w:rPr>
        <w:t>6.1.2评标委员会成员有下列情形之一的，应当回避：</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1）招标人或投标人的主要负责人的近亲属；</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2）项目主管部门或者行政监督部门的人员；</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3）与投标人有利害关系，可能影响对投标公正评审的；</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4）曾因在招标、评标以及其他与招标投标有关活动中从事违法行为而受过行政处罚或刑事处罚</w:t>
      </w:r>
      <w:r>
        <w:rPr>
          <w:rFonts w:hint="eastAsia" w:ascii="宋体" w:hAnsi="宋体"/>
          <w:snapToGrid w:val="0"/>
          <w:kern w:val="0"/>
          <w:szCs w:val="21"/>
        </w:rPr>
        <w:t>的。</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6.2  </w:t>
      </w:r>
      <w:r>
        <w:rPr>
          <w:rFonts w:hint="eastAsia" w:ascii="宋体" w:hAnsi="宋体"/>
          <w:b/>
          <w:bCs/>
          <w:snapToGrid w:val="0"/>
          <w:kern w:val="0"/>
          <w:szCs w:val="21"/>
        </w:rPr>
        <w:t>评标原则</w:t>
      </w:r>
      <w:bookmarkEnd w:id="134"/>
      <w:bookmarkEnd w:id="135"/>
      <w:bookmarkEnd w:id="136"/>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6.2.1 </w:t>
      </w:r>
      <w:r>
        <w:rPr>
          <w:rFonts w:hint="eastAsia" w:ascii="宋体" w:hAnsi="宋体"/>
          <w:snapToGrid w:val="0"/>
          <w:kern w:val="0"/>
          <w:szCs w:val="21"/>
        </w:rPr>
        <w:t>公平、公正、科学和择优；</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6.2.2 </w:t>
      </w:r>
      <w:r>
        <w:rPr>
          <w:rFonts w:hint="eastAsia" w:ascii="宋体" w:hAnsi="宋体"/>
          <w:snapToGrid w:val="0"/>
          <w:kern w:val="0"/>
          <w:szCs w:val="21"/>
        </w:rPr>
        <w:t>依法评标、严格保密；</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6.2.3 </w:t>
      </w:r>
      <w:r>
        <w:rPr>
          <w:rFonts w:hint="eastAsia" w:ascii="宋体" w:hAnsi="宋体"/>
          <w:snapToGrid w:val="0"/>
          <w:kern w:val="0"/>
          <w:szCs w:val="21"/>
        </w:rPr>
        <w:t>反对不正当竞争；</w:t>
      </w:r>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6.2.4 </w:t>
      </w:r>
      <w:r>
        <w:rPr>
          <w:rFonts w:hint="eastAsia" w:ascii="宋体" w:hAnsi="宋体"/>
          <w:snapToGrid w:val="0"/>
          <w:kern w:val="0"/>
          <w:szCs w:val="21"/>
        </w:rPr>
        <w:t>定性的结论由评标委员会全体成员按少数服从多数的原则，以记名投票方式决定。</w:t>
      </w:r>
    </w:p>
    <w:p>
      <w:pPr>
        <w:widowControl/>
        <w:snapToGrid w:val="0"/>
        <w:spacing w:line="400" w:lineRule="exact"/>
        <w:jc w:val="left"/>
        <w:outlineLvl w:val="2"/>
        <w:rPr>
          <w:rFonts w:ascii="宋体" w:hAnsi="宋体"/>
          <w:b/>
          <w:bCs/>
          <w:snapToGrid w:val="0"/>
          <w:kern w:val="0"/>
          <w:szCs w:val="21"/>
        </w:rPr>
      </w:pPr>
      <w:bookmarkStart w:id="137" w:name="_Toc200513163"/>
      <w:bookmarkStart w:id="138" w:name="_Toc291847053"/>
      <w:bookmarkStart w:id="139" w:name="_Toc32680"/>
      <w:r>
        <w:rPr>
          <w:rFonts w:ascii="宋体" w:hAnsi="宋体"/>
          <w:b/>
          <w:bCs/>
          <w:snapToGrid w:val="0"/>
          <w:kern w:val="0"/>
          <w:szCs w:val="21"/>
        </w:rPr>
        <w:t xml:space="preserve">6.3  </w:t>
      </w:r>
      <w:r>
        <w:rPr>
          <w:rFonts w:hint="eastAsia" w:ascii="宋体" w:hAnsi="宋体"/>
          <w:b/>
          <w:bCs/>
          <w:snapToGrid w:val="0"/>
          <w:kern w:val="0"/>
          <w:szCs w:val="21"/>
        </w:rPr>
        <w:t>评标</w:t>
      </w:r>
      <w:bookmarkEnd w:id="137"/>
      <w:bookmarkEnd w:id="138"/>
      <w:bookmarkEnd w:id="139"/>
    </w:p>
    <w:p>
      <w:pPr>
        <w:autoSpaceDE w:val="0"/>
        <w:autoSpaceDN w:val="0"/>
        <w:adjustRightInd w:val="0"/>
        <w:snapToGrid w:val="0"/>
        <w:spacing w:line="400" w:lineRule="exact"/>
        <w:ind w:firstLine="420"/>
        <w:jc w:val="left"/>
        <w:rPr>
          <w:rFonts w:ascii="宋体" w:hAnsi="宋体"/>
          <w:snapToGrid w:val="0"/>
          <w:kern w:val="0"/>
          <w:szCs w:val="21"/>
        </w:rPr>
      </w:pPr>
      <w:r>
        <w:rPr>
          <w:rFonts w:hint="eastAsia" w:ascii="宋体" w:hAnsi="宋体"/>
          <w:snapToGrid w:val="0"/>
          <w:kern w:val="0"/>
          <w:szCs w:val="21"/>
        </w:rPr>
        <w:t>评标委员会按照第三章“评标办法”规定的方法、评审因素、标准和程序对投标文件进行评审。第三章“评标办法”没有规定的方法、评审因素和标准，不作为评标依据。</w:t>
      </w:r>
    </w:p>
    <w:p>
      <w:pPr>
        <w:widowControl/>
        <w:snapToGrid w:val="0"/>
        <w:spacing w:line="400" w:lineRule="exact"/>
        <w:jc w:val="left"/>
        <w:outlineLvl w:val="2"/>
        <w:rPr>
          <w:rFonts w:ascii="宋体" w:hAnsi="宋体"/>
          <w:b/>
          <w:bCs/>
          <w:snapToGrid w:val="0"/>
          <w:kern w:val="0"/>
          <w:szCs w:val="21"/>
        </w:rPr>
      </w:pPr>
      <w:bookmarkStart w:id="140" w:name="_Toc10385"/>
      <w:bookmarkStart w:id="141" w:name="_Toc200513164"/>
      <w:bookmarkStart w:id="142" w:name="_Toc291847054"/>
      <w:r>
        <w:rPr>
          <w:rFonts w:ascii="宋体" w:hAnsi="宋体"/>
          <w:b/>
          <w:bCs/>
          <w:snapToGrid w:val="0"/>
          <w:kern w:val="0"/>
          <w:szCs w:val="21"/>
        </w:rPr>
        <w:t xml:space="preserve">7.  </w:t>
      </w:r>
      <w:r>
        <w:rPr>
          <w:rFonts w:hint="eastAsia" w:ascii="宋体" w:hAnsi="宋体"/>
          <w:b/>
          <w:bCs/>
          <w:snapToGrid w:val="0"/>
          <w:kern w:val="0"/>
          <w:szCs w:val="21"/>
        </w:rPr>
        <w:t>合同授予</w:t>
      </w:r>
      <w:bookmarkEnd w:id="140"/>
      <w:bookmarkEnd w:id="141"/>
      <w:bookmarkEnd w:id="142"/>
    </w:p>
    <w:p>
      <w:pPr>
        <w:widowControl/>
        <w:snapToGrid w:val="0"/>
        <w:spacing w:line="400" w:lineRule="exact"/>
        <w:jc w:val="left"/>
        <w:outlineLvl w:val="2"/>
        <w:rPr>
          <w:rFonts w:ascii="宋体" w:hAnsi="宋体"/>
          <w:b/>
          <w:bCs/>
          <w:snapToGrid w:val="0"/>
          <w:kern w:val="0"/>
          <w:szCs w:val="21"/>
        </w:rPr>
      </w:pPr>
      <w:bookmarkStart w:id="143" w:name="_Toc291847055"/>
      <w:bookmarkStart w:id="144" w:name="_Toc200513165"/>
      <w:bookmarkStart w:id="145" w:name="_Toc28764"/>
      <w:r>
        <w:rPr>
          <w:rFonts w:ascii="宋体" w:hAnsi="宋体"/>
          <w:b/>
          <w:bCs/>
          <w:snapToGrid w:val="0"/>
          <w:kern w:val="0"/>
          <w:szCs w:val="21"/>
        </w:rPr>
        <w:t xml:space="preserve">7.1  </w:t>
      </w:r>
      <w:r>
        <w:rPr>
          <w:rFonts w:hint="eastAsia" w:ascii="宋体" w:hAnsi="宋体"/>
          <w:b/>
          <w:bCs/>
          <w:snapToGrid w:val="0"/>
          <w:kern w:val="0"/>
          <w:szCs w:val="21"/>
        </w:rPr>
        <w:t>定标方式</w:t>
      </w:r>
      <w:bookmarkEnd w:id="143"/>
      <w:bookmarkEnd w:id="144"/>
      <w:bookmarkEnd w:id="145"/>
    </w:p>
    <w:p>
      <w:pPr>
        <w:autoSpaceDE w:val="0"/>
        <w:autoSpaceDN w:val="0"/>
        <w:adjustRightInd w:val="0"/>
        <w:snapToGrid w:val="0"/>
        <w:spacing w:line="400" w:lineRule="exact"/>
        <w:ind w:firstLine="420"/>
        <w:jc w:val="left"/>
        <w:rPr>
          <w:rFonts w:ascii="宋体" w:hAnsi="宋体"/>
          <w:snapToGrid w:val="0"/>
          <w:kern w:val="0"/>
          <w:szCs w:val="21"/>
        </w:rPr>
      </w:pPr>
      <w:bookmarkStart w:id="146" w:name="_Toc200513166"/>
      <w:bookmarkStart w:id="147" w:name="_Toc291847056"/>
      <w:bookmarkStart w:id="148" w:name="_Toc13595"/>
      <w:r>
        <w:rPr>
          <w:rFonts w:ascii="宋体" w:hAnsi="宋体"/>
          <w:snapToGrid w:val="0"/>
          <w:kern w:val="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400" w:lineRule="exact"/>
        <w:ind w:firstLine="420"/>
        <w:jc w:val="left"/>
        <w:rPr>
          <w:rFonts w:ascii="宋体" w:hAnsi="宋体"/>
          <w:snapToGrid w:val="0"/>
          <w:kern w:val="0"/>
          <w:szCs w:val="21"/>
        </w:rPr>
      </w:pPr>
      <w:r>
        <w:rPr>
          <w:rFonts w:hint="eastAsia" w:ascii="宋体" w:hAnsi="宋体"/>
          <w:snapToGrid w:val="0"/>
          <w:kern w:val="0"/>
          <w:szCs w:val="21"/>
        </w:rPr>
        <w:t>评标委员会推荐中标候选人的人数见投标人须知前附表。</w:t>
      </w:r>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7.2  </w:t>
      </w:r>
      <w:r>
        <w:rPr>
          <w:rFonts w:hint="eastAsia" w:ascii="宋体" w:hAnsi="宋体"/>
          <w:b/>
          <w:bCs/>
          <w:snapToGrid w:val="0"/>
          <w:kern w:val="0"/>
          <w:szCs w:val="21"/>
        </w:rPr>
        <w:t>中标通知</w:t>
      </w:r>
      <w:bookmarkEnd w:id="146"/>
      <w:bookmarkEnd w:id="147"/>
      <w:bookmarkEnd w:id="148"/>
    </w:p>
    <w:p>
      <w:pPr>
        <w:autoSpaceDE w:val="0"/>
        <w:autoSpaceDN w:val="0"/>
        <w:adjustRightInd w:val="0"/>
        <w:snapToGrid w:val="0"/>
        <w:spacing w:line="400" w:lineRule="exact"/>
        <w:ind w:firstLine="420"/>
        <w:rPr>
          <w:rFonts w:ascii="宋体" w:hAnsi="宋体"/>
          <w:snapToGrid w:val="0"/>
          <w:kern w:val="0"/>
          <w:szCs w:val="21"/>
        </w:rPr>
      </w:pPr>
      <w:bookmarkStart w:id="149" w:name="_Toc200513167"/>
      <w:r>
        <w:rPr>
          <w:rFonts w:hint="eastAsia" w:ascii="宋体" w:hAnsi="宋体"/>
          <w:snapToGrid w:val="0"/>
          <w:kern w:val="0"/>
          <w:szCs w:val="21"/>
        </w:rPr>
        <w:t>招标人在评标结束后三日内将评标委员会推荐的中标候选人在发布招标公告指定的媒介上公示三个工作日。公示期间无异议或投诉、异议不成立，招标人在公示期结束后五日内按照招标文件规定的定标办法确定中标人。在确定中标人后五日内发出中标通知书</w:t>
      </w:r>
      <w:bookmarkEnd w:id="149"/>
      <w:r>
        <w:rPr>
          <w:rFonts w:hint="eastAsia" w:ascii="宋体" w:hAnsi="宋体"/>
          <w:snapToGrid w:val="0"/>
          <w:kern w:val="0"/>
          <w:szCs w:val="21"/>
        </w:rPr>
        <w:t>。</w:t>
      </w:r>
    </w:p>
    <w:p>
      <w:pPr>
        <w:widowControl/>
        <w:snapToGrid w:val="0"/>
        <w:spacing w:line="400" w:lineRule="exact"/>
        <w:jc w:val="left"/>
        <w:outlineLvl w:val="2"/>
        <w:rPr>
          <w:rFonts w:ascii="宋体" w:hAnsi="宋体"/>
          <w:b/>
          <w:bCs/>
          <w:snapToGrid w:val="0"/>
          <w:kern w:val="0"/>
          <w:szCs w:val="21"/>
        </w:rPr>
      </w:pPr>
      <w:bookmarkStart w:id="150" w:name="_Toc291847057"/>
      <w:bookmarkStart w:id="151" w:name="_Toc10093"/>
      <w:bookmarkStart w:id="152" w:name="_Toc200513168"/>
      <w:r>
        <w:rPr>
          <w:rFonts w:ascii="宋体" w:hAnsi="宋体"/>
          <w:b/>
          <w:bCs/>
          <w:snapToGrid w:val="0"/>
          <w:kern w:val="0"/>
          <w:szCs w:val="21"/>
        </w:rPr>
        <w:t xml:space="preserve">7.3  </w:t>
      </w:r>
      <w:r>
        <w:rPr>
          <w:rFonts w:hint="eastAsia" w:ascii="宋体" w:hAnsi="宋体"/>
          <w:b/>
          <w:bCs/>
          <w:snapToGrid w:val="0"/>
          <w:kern w:val="0"/>
          <w:szCs w:val="21"/>
        </w:rPr>
        <w:t>签订合同</w:t>
      </w:r>
      <w:bookmarkEnd w:id="150"/>
      <w:bookmarkEnd w:id="151"/>
      <w:bookmarkEnd w:id="152"/>
    </w:p>
    <w:p>
      <w:pPr>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 xml:space="preserve">7.3.1 </w:t>
      </w:r>
      <w:r>
        <w:rPr>
          <w:rFonts w:hint="eastAsia" w:ascii="宋体" w:hAnsi="宋体"/>
          <w:snapToGrid w:val="0"/>
          <w:kern w:val="0"/>
          <w:szCs w:val="21"/>
        </w:rPr>
        <w:t>招标人和中标人应当自中标通知书发出之日起</w:t>
      </w:r>
      <w:r>
        <w:rPr>
          <w:rFonts w:ascii="宋体" w:hAnsi="宋体"/>
          <w:snapToGrid w:val="0"/>
          <w:kern w:val="0"/>
          <w:szCs w:val="21"/>
        </w:rPr>
        <w:t>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snapToGrid w:val="0"/>
          <w:kern w:val="0"/>
          <w:szCs w:val="21"/>
        </w:rPr>
        <w:t xml:space="preserve">7.3.2  </w:t>
      </w:r>
      <w:r>
        <w:rPr>
          <w:rFonts w:hint="eastAsia" w:ascii="宋体" w:hAnsi="宋体"/>
          <w:snapToGrid w:val="0"/>
          <w:kern w:val="0"/>
          <w:szCs w:val="21"/>
        </w:rPr>
        <w:t>发出中标通知书后，招标人无正当理由拒签合同的，招标人向中标人退还投标保证金；给中标人造成损失的，还应当赔偿损失。</w:t>
      </w:r>
    </w:p>
    <w:p>
      <w:pPr>
        <w:widowControl/>
        <w:snapToGrid w:val="0"/>
        <w:spacing w:line="400" w:lineRule="exact"/>
        <w:jc w:val="left"/>
        <w:outlineLvl w:val="2"/>
        <w:rPr>
          <w:rFonts w:ascii="宋体" w:hAnsi="宋体"/>
          <w:b/>
          <w:bCs/>
          <w:snapToGrid w:val="0"/>
          <w:kern w:val="0"/>
          <w:szCs w:val="21"/>
        </w:rPr>
      </w:pPr>
      <w:bookmarkStart w:id="153" w:name="_Toc4091"/>
      <w:bookmarkStart w:id="154" w:name="_Toc200513169"/>
      <w:bookmarkStart w:id="155" w:name="_Toc291847058"/>
      <w:r>
        <w:rPr>
          <w:rFonts w:ascii="宋体" w:hAnsi="宋体"/>
          <w:b/>
          <w:bCs/>
          <w:snapToGrid w:val="0"/>
          <w:kern w:val="0"/>
          <w:szCs w:val="21"/>
        </w:rPr>
        <w:t xml:space="preserve">8.  </w:t>
      </w:r>
      <w:r>
        <w:rPr>
          <w:rFonts w:hint="eastAsia" w:ascii="宋体" w:hAnsi="宋体"/>
          <w:b/>
          <w:bCs/>
          <w:snapToGrid w:val="0"/>
          <w:kern w:val="0"/>
          <w:szCs w:val="21"/>
        </w:rPr>
        <w:t>重新招标和不再招标</w:t>
      </w:r>
      <w:bookmarkEnd w:id="153"/>
      <w:bookmarkEnd w:id="154"/>
      <w:bookmarkEnd w:id="155"/>
    </w:p>
    <w:p>
      <w:pPr>
        <w:widowControl/>
        <w:snapToGrid w:val="0"/>
        <w:spacing w:line="400" w:lineRule="exact"/>
        <w:jc w:val="left"/>
        <w:outlineLvl w:val="2"/>
        <w:rPr>
          <w:rFonts w:ascii="宋体" w:hAnsi="宋体"/>
          <w:b/>
          <w:bCs/>
          <w:snapToGrid w:val="0"/>
          <w:kern w:val="0"/>
          <w:szCs w:val="21"/>
        </w:rPr>
      </w:pPr>
      <w:bookmarkStart w:id="156" w:name="_Toc21555"/>
      <w:bookmarkStart w:id="157" w:name="_Toc291847059"/>
      <w:bookmarkStart w:id="158" w:name="_Toc200513170"/>
      <w:r>
        <w:rPr>
          <w:rFonts w:ascii="宋体" w:hAnsi="宋体"/>
          <w:b/>
          <w:bCs/>
          <w:snapToGrid w:val="0"/>
          <w:kern w:val="0"/>
          <w:szCs w:val="21"/>
        </w:rPr>
        <w:t xml:space="preserve">8.1  </w:t>
      </w:r>
      <w:r>
        <w:rPr>
          <w:rFonts w:hint="eastAsia" w:ascii="宋体" w:hAnsi="宋体"/>
          <w:b/>
          <w:bCs/>
          <w:snapToGrid w:val="0"/>
          <w:kern w:val="0"/>
          <w:szCs w:val="21"/>
        </w:rPr>
        <w:t>重新招标</w:t>
      </w:r>
      <w:bookmarkEnd w:id="156"/>
      <w:bookmarkEnd w:id="157"/>
      <w:bookmarkEnd w:id="158"/>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有下列情形之一的，招标人将重新招标：</w:t>
      </w:r>
    </w:p>
    <w:p>
      <w:pPr>
        <w:autoSpaceDE w:val="0"/>
        <w:autoSpaceDN w:val="0"/>
        <w:adjustRightInd w:val="0"/>
        <w:snapToGri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1）投标截止时间止，投标人少于3个的；</w:t>
      </w:r>
    </w:p>
    <w:p>
      <w:pPr>
        <w:autoSpaceDE w:val="0"/>
        <w:autoSpaceDN w:val="0"/>
        <w:adjustRightInd w:val="0"/>
        <w:snapToGrid w:val="0"/>
        <w:spacing w:line="400" w:lineRule="exact"/>
        <w:ind w:left="359" w:leftChars="171"/>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2）经评标委员会评审后否决所有投标的。</w:t>
      </w:r>
    </w:p>
    <w:p>
      <w:pPr>
        <w:autoSpaceDE w:val="0"/>
        <w:autoSpaceDN w:val="0"/>
        <w:adjustRightInd w:val="0"/>
        <w:snapToGrid w:val="0"/>
        <w:spacing w:line="400" w:lineRule="exact"/>
        <w:ind w:firstLine="315" w:firstLineChars="15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3）经评审后，如合格的投标人少于三个的，且明显缺乏竞争的，评标委员会可以否决全部投标；</w:t>
      </w:r>
      <w:r>
        <w:rPr>
          <w:rFonts w:hint="eastAsia" w:ascii="宋体" w:hAnsi="宋体"/>
        </w:rPr>
        <w:t>招标人将重新组织招标。但是有效投标人的经济、技术等指标仍然具有市场竞争力，能够满足招标文件要求的，评标委员会可以继续评标并确定中标候选人；</w:t>
      </w:r>
    </w:p>
    <w:p>
      <w:pPr>
        <w:autoSpaceDE w:val="0"/>
        <w:autoSpaceDN w:val="0"/>
        <w:adjustRightInd w:val="0"/>
        <w:snapToGrid w:val="0"/>
        <w:spacing w:line="400" w:lineRule="exact"/>
        <w:ind w:firstLine="315" w:firstLineChars="150"/>
        <w:jc w:val="left"/>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4）法律法规规定的其他情形。</w:t>
      </w:r>
    </w:p>
    <w:p>
      <w:pPr>
        <w:widowControl/>
        <w:snapToGrid w:val="0"/>
        <w:spacing w:line="400" w:lineRule="exact"/>
        <w:jc w:val="left"/>
        <w:outlineLvl w:val="2"/>
        <w:rPr>
          <w:rFonts w:ascii="宋体" w:hAnsi="宋体"/>
          <w:b/>
          <w:bCs/>
          <w:snapToGrid w:val="0"/>
          <w:kern w:val="0"/>
          <w:szCs w:val="21"/>
        </w:rPr>
      </w:pPr>
      <w:bookmarkStart w:id="159" w:name="_Toc6291"/>
      <w:bookmarkStart w:id="160" w:name="_Toc291847060"/>
      <w:bookmarkStart w:id="161" w:name="_Toc200513171"/>
      <w:r>
        <w:rPr>
          <w:rFonts w:ascii="宋体" w:hAnsi="宋体"/>
          <w:b/>
          <w:bCs/>
          <w:snapToGrid w:val="0"/>
          <w:kern w:val="0"/>
          <w:szCs w:val="21"/>
        </w:rPr>
        <w:t xml:space="preserve">8.2  </w:t>
      </w:r>
      <w:r>
        <w:rPr>
          <w:rFonts w:hint="eastAsia" w:ascii="宋体" w:hAnsi="宋体"/>
          <w:b/>
          <w:bCs/>
          <w:snapToGrid w:val="0"/>
          <w:kern w:val="0"/>
          <w:szCs w:val="21"/>
        </w:rPr>
        <w:t>不再招标</w:t>
      </w:r>
      <w:bookmarkEnd w:id="159"/>
      <w:bookmarkEnd w:id="160"/>
      <w:bookmarkEnd w:id="161"/>
    </w:p>
    <w:p>
      <w:pPr>
        <w:autoSpaceDE w:val="0"/>
        <w:autoSpaceDN w:val="0"/>
        <w:adjustRightInd w:val="0"/>
        <w:snapToGrid w:val="0"/>
        <w:spacing w:line="400" w:lineRule="exact"/>
        <w:ind w:firstLine="420"/>
        <w:jc w:val="left"/>
        <w:rPr>
          <w:rFonts w:ascii="宋体" w:hAnsi="宋体"/>
          <w:snapToGrid w:val="0"/>
          <w:kern w:val="0"/>
          <w:szCs w:val="21"/>
        </w:rPr>
      </w:pPr>
      <w:r>
        <w:rPr>
          <w:rFonts w:hint="eastAsia" w:ascii="宋体" w:hAnsi="宋体"/>
          <w:snapToGrid w:val="0"/>
          <w:kern w:val="0"/>
          <w:szCs w:val="21"/>
        </w:rPr>
        <w:t>重新招标后投标人仍少于</w:t>
      </w:r>
      <w:r>
        <w:rPr>
          <w:rFonts w:ascii="宋体" w:hAnsi="宋体"/>
          <w:snapToGrid w:val="0"/>
          <w:kern w:val="0"/>
          <w:szCs w:val="21"/>
        </w:rPr>
        <w:t>3个，按法定程序开标和评标，确定中标人。经评审无合格投标人，属于必须审批或核准的工程建设项目，经原审批或核准部门批准后不再进行招标。</w:t>
      </w:r>
    </w:p>
    <w:p>
      <w:pPr>
        <w:widowControl/>
        <w:snapToGrid w:val="0"/>
        <w:spacing w:line="400" w:lineRule="exact"/>
        <w:jc w:val="left"/>
        <w:outlineLvl w:val="2"/>
        <w:rPr>
          <w:rFonts w:ascii="宋体" w:hAnsi="宋体"/>
          <w:b/>
          <w:bCs/>
          <w:snapToGrid w:val="0"/>
          <w:kern w:val="0"/>
          <w:szCs w:val="21"/>
        </w:rPr>
      </w:pPr>
      <w:bookmarkStart w:id="162" w:name="_Toc200513172"/>
      <w:bookmarkStart w:id="163" w:name="_Toc291847061"/>
      <w:bookmarkStart w:id="164" w:name="_Toc14413"/>
      <w:r>
        <w:rPr>
          <w:rFonts w:ascii="宋体" w:hAnsi="宋体"/>
          <w:b/>
          <w:bCs/>
          <w:snapToGrid w:val="0"/>
          <w:kern w:val="0"/>
          <w:szCs w:val="21"/>
        </w:rPr>
        <w:t xml:space="preserve">9.  </w:t>
      </w:r>
      <w:r>
        <w:rPr>
          <w:rFonts w:hint="eastAsia" w:ascii="宋体" w:hAnsi="宋体"/>
          <w:b/>
          <w:bCs/>
          <w:snapToGrid w:val="0"/>
          <w:kern w:val="0"/>
          <w:szCs w:val="21"/>
        </w:rPr>
        <w:t>纪律和监督</w:t>
      </w:r>
      <w:bookmarkEnd w:id="162"/>
      <w:bookmarkEnd w:id="163"/>
      <w:bookmarkEnd w:id="164"/>
    </w:p>
    <w:p>
      <w:pPr>
        <w:widowControl/>
        <w:snapToGrid w:val="0"/>
        <w:spacing w:line="400" w:lineRule="exact"/>
        <w:jc w:val="left"/>
        <w:outlineLvl w:val="2"/>
        <w:rPr>
          <w:rFonts w:ascii="宋体" w:hAnsi="宋体"/>
          <w:b/>
          <w:bCs/>
          <w:snapToGrid w:val="0"/>
          <w:kern w:val="0"/>
          <w:szCs w:val="21"/>
        </w:rPr>
      </w:pPr>
      <w:bookmarkStart w:id="165" w:name="_Toc29375"/>
      <w:bookmarkStart w:id="166" w:name="_Toc200513173"/>
      <w:bookmarkStart w:id="167" w:name="_Toc291847062"/>
      <w:r>
        <w:rPr>
          <w:rFonts w:ascii="宋体" w:hAnsi="宋体"/>
          <w:b/>
          <w:bCs/>
          <w:snapToGrid w:val="0"/>
          <w:kern w:val="0"/>
          <w:szCs w:val="21"/>
        </w:rPr>
        <w:t xml:space="preserve">9.1  </w:t>
      </w:r>
      <w:r>
        <w:rPr>
          <w:rFonts w:hint="eastAsia" w:ascii="宋体" w:hAnsi="宋体"/>
          <w:b/>
          <w:bCs/>
          <w:snapToGrid w:val="0"/>
          <w:kern w:val="0"/>
          <w:szCs w:val="21"/>
        </w:rPr>
        <w:t>对招标人的纪律要求</w:t>
      </w:r>
      <w:bookmarkEnd w:id="165"/>
      <w:bookmarkEnd w:id="166"/>
      <w:bookmarkEnd w:id="167"/>
    </w:p>
    <w:p>
      <w:pPr>
        <w:autoSpaceDE w:val="0"/>
        <w:autoSpaceDN w:val="0"/>
        <w:adjustRightInd w:val="0"/>
        <w:snapToGrid w:val="0"/>
        <w:spacing w:line="400" w:lineRule="exact"/>
        <w:ind w:firstLine="420"/>
        <w:jc w:val="left"/>
        <w:rPr>
          <w:rFonts w:ascii="宋体" w:hAnsi="宋体"/>
          <w:snapToGrid w:val="0"/>
          <w:kern w:val="0"/>
          <w:szCs w:val="21"/>
        </w:rPr>
      </w:pPr>
      <w:r>
        <w:rPr>
          <w:rFonts w:hint="eastAsia" w:ascii="宋体" w:hAnsi="宋体"/>
          <w:snapToGrid w:val="0"/>
          <w:kern w:val="0"/>
          <w:szCs w:val="21"/>
        </w:rPr>
        <w:t>招标人不得泄漏招标投标活动中应当保密的情况和资料，不得与投标人串通损害国家利益、社会公共利益或者他人合法权益。</w:t>
      </w:r>
    </w:p>
    <w:p>
      <w:pPr>
        <w:widowControl/>
        <w:snapToGrid w:val="0"/>
        <w:spacing w:line="400" w:lineRule="exact"/>
        <w:jc w:val="left"/>
        <w:outlineLvl w:val="2"/>
        <w:rPr>
          <w:rFonts w:ascii="宋体" w:hAnsi="宋体"/>
          <w:b/>
          <w:bCs/>
          <w:snapToGrid w:val="0"/>
          <w:kern w:val="0"/>
          <w:szCs w:val="21"/>
        </w:rPr>
      </w:pPr>
      <w:bookmarkStart w:id="168" w:name="_Toc291847063"/>
      <w:bookmarkStart w:id="169" w:name="_Toc200513174"/>
      <w:bookmarkStart w:id="170" w:name="_Toc5622"/>
      <w:r>
        <w:rPr>
          <w:rFonts w:ascii="宋体" w:hAnsi="宋体"/>
          <w:b/>
          <w:bCs/>
          <w:snapToGrid w:val="0"/>
          <w:kern w:val="0"/>
          <w:szCs w:val="21"/>
        </w:rPr>
        <w:t xml:space="preserve">9.2  </w:t>
      </w:r>
      <w:r>
        <w:rPr>
          <w:rFonts w:hint="eastAsia" w:ascii="宋体" w:hAnsi="宋体"/>
          <w:b/>
          <w:bCs/>
          <w:snapToGrid w:val="0"/>
          <w:kern w:val="0"/>
          <w:szCs w:val="21"/>
        </w:rPr>
        <w:t>对投标人的纪律要求</w:t>
      </w:r>
      <w:bookmarkEnd w:id="168"/>
      <w:bookmarkEnd w:id="169"/>
      <w:bookmarkEnd w:id="170"/>
    </w:p>
    <w:p>
      <w:pPr>
        <w:autoSpaceDE w:val="0"/>
        <w:autoSpaceDN w:val="0"/>
        <w:adjustRightInd w:val="0"/>
        <w:snapToGrid w:val="0"/>
        <w:spacing w:line="400" w:lineRule="exact"/>
        <w:ind w:firstLine="420"/>
        <w:rPr>
          <w:rFonts w:ascii="宋体" w:hAnsi="宋体"/>
          <w:szCs w:val="20"/>
        </w:rPr>
      </w:pPr>
      <w:r>
        <w:rPr>
          <w:rFonts w:hint="eastAsia" w:ascii="宋体" w:hAnsi="宋体"/>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r>
        <w:rPr>
          <w:rFonts w:ascii="宋体" w:hAnsi="宋体"/>
        </w:rPr>
        <w:br w:type="textWrapping"/>
      </w:r>
      <w:r>
        <w:rPr>
          <w:rFonts w:hint="eastAsia" w:ascii="宋体" w:hAnsi="宋体"/>
        </w:rPr>
        <w:t>  </w:t>
      </w:r>
      <w:r>
        <w:rPr>
          <w:rFonts w:ascii="宋体" w:hAnsi="宋体"/>
        </w:rPr>
        <w:t>1.</w:t>
      </w:r>
      <w:r>
        <w:rPr>
          <w:rFonts w:hint="eastAsia" w:ascii="宋体" w:hAnsi="宋体"/>
        </w:rPr>
        <w:t>有下列情形之一的，属于投标人相互串通投标：</w:t>
      </w:r>
      <w:r>
        <w:rPr>
          <w:rFonts w:ascii="宋体" w:hAnsi="宋体"/>
        </w:rPr>
        <w:br w:type="textWrapping"/>
      </w:r>
      <w:r>
        <w:rPr>
          <w:rFonts w:hint="eastAsia" w:ascii="宋体" w:hAnsi="宋体"/>
        </w:rPr>
        <w:t>  （</w:t>
      </w:r>
      <w:r>
        <w:rPr>
          <w:rFonts w:ascii="宋体" w:hAnsi="宋体"/>
        </w:rPr>
        <w:t>1）投标人之间协商投标报价等投标文件的实质性内容；</w:t>
      </w:r>
      <w:r>
        <w:rPr>
          <w:rFonts w:ascii="宋体" w:hAnsi="宋体"/>
        </w:rPr>
        <w:br w:type="textWrapping"/>
      </w:r>
      <w:r>
        <w:rPr>
          <w:rFonts w:hint="eastAsia" w:ascii="宋体" w:hAnsi="宋体"/>
        </w:rPr>
        <w:t>  （</w:t>
      </w:r>
      <w:r>
        <w:rPr>
          <w:rFonts w:ascii="宋体" w:hAnsi="宋体"/>
        </w:rPr>
        <w:t>2）投标人之间约定中标人；</w:t>
      </w:r>
      <w:r>
        <w:rPr>
          <w:rFonts w:ascii="宋体" w:hAnsi="宋体"/>
        </w:rPr>
        <w:br w:type="textWrapping"/>
      </w:r>
      <w:r>
        <w:rPr>
          <w:rFonts w:hint="eastAsia" w:ascii="宋体" w:hAnsi="宋体"/>
        </w:rPr>
        <w:t>  （</w:t>
      </w:r>
      <w:r>
        <w:rPr>
          <w:rFonts w:ascii="宋体" w:hAnsi="宋体"/>
        </w:rPr>
        <w:t>3）投标人之间约定部分投标人放弃投标或者中标；</w:t>
      </w:r>
      <w:r>
        <w:rPr>
          <w:rFonts w:ascii="宋体" w:hAnsi="宋体"/>
        </w:rPr>
        <w:br w:type="textWrapping"/>
      </w:r>
      <w:r>
        <w:rPr>
          <w:rFonts w:hint="eastAsia" w:ascii="宋体" w:hAnsi="宋体"/>
        </w:rPr>
        <w:t>  （</w:t>
      </w:r>
      <w:r>
        <w:rPr>
          <w:rFonts w:ascii="宋体" w:hAnsi="宋体"/>
        </w:rPr>
        <w:t>4）属于同一集团、协会、商会等组织成员的投标人按照该组织要求协同投标；</w:t>
      </w:r>
      <w:r>
        <w:rPr>
          <w:rFonts w:ascii="宋体" w:hAnsi="宋体"/>
        </w:rPr>
        <w:br w:type="textWrapping"/>
      </w:r>
      <w:r>
        <w:rPr>
          <w:rFonts w:hint="eastAsia" w:ascii="宋体" w:hAnsi="宋体"/>
        </w:rPr>
        <w:t>  （</w:t>
      </w:r>
      <w:r>
        <w:rPr>
          <w:rFonts w:ascii="宋体" w:hAnsi="宋体"/>
        </w:rPr>
        <w:t>5）投标人之间为谋取中标或者排斥特定投标人而采取的其他联合行动。</w:t>
      </w:r>
      <w:r>
        <w:rPr>
          <w:rFonts w:ascii="宋体" w:hAnsi="宋体"/>
        </w:rPr>
        <w:br w:type="textWrapping"/>
      </w:r>
      <w:r>
        <w:rPr>
          <w:rFonts w:hint="eastAsia" w:ascii="宋体" w:hAnsi="宋体"/>
        </w:rPr>
        <w:t>  </w:t>
      </w:r>
      <w:r>
        <w:rPr>
          <w:rFonts w:ascii="宋体" w:hAnsi="宋体"/>
        </w:rPr>
        <w:t>2.</w:t>
      </w:r>
      <w:r>
        <w:rPr>
          <w:rFonts w:hint="eastAsia" w:ascii="宋体" w:hAnsi="宋体"/>
        </w:rPr>
        <w:t>有下列情形之一的，视为投标人相互串通投标：</w:t>
      </w:r>
      <w:r>
        <w:rPr>
          <w:rFonts w:ascii="宋体" w:hAnsi="宋体"/>
        </w:rPr>
        <w:br w:type="textWrapping"/>
      </w:r>
      <w:r>
        <w:rPr>
          <w:rFonts w:hint="eastAsia" w:ascii="宋体" w:hAnsi="宋体"/>
        </w:rPr>
        <w:t>  （</w:t>
      </w:r>
      <w:r>
        <w:rPr>
          <w:rFonts w:ascii="宋体" w:hAnsi="宋体"/>
        </w:rPr>
        <w:t>1）不同投标人的投标文件由同一单位或者个人编制；</w:t>
      </w:r>
      <w:r>
        <w:rPr>
          <w:rFonts w:ascii="宋体" w:hAnsi="宋体"/>
        </w:rPr>
        <w:br w:type="textWrapping"/>
      </w:r>
      <w:r>
        <w:rPr>
          <w:rFonts w:hint="eastAsia" w:ascii="宋体" w:hAnsi="宋体"/>
        </w:rPr>
        <w:t>  （</w:t>
      </w:r>
      <w:r>
        <w:rPr>
          <w:rFonts w:ascii="宋体" w:hAnsi="宋体"/>
        </w:rPr>
        <w:t>2）不同投标人委托同一单位或者个人办理投标事宜；</w:t>
      </w:r>
      <w:r>
        <w:rPr>
          <w:rFonts w:ascii="宋体" w:hAnsi="宋体"/>
        </w:rPr>
        <w:br w:type="textWrapping"/>
      </w:r>
      <w:r>
        <w:rPr>
          <w:rFonts w:hint="eastAsia" w:ascii="宋体" w:hAnsi="宋体"/>
        </w:rPr>
        <w:t>  （</w:t>
      </w:r>
      <w:r>
        <w:rPr>
          <w:rFonts w:ascii="宋体" w:hAnsi="宋体"/>
        </w:rPr>
        <w:t>3）不同投标人的投标文件载明的项目管理成员为同一人；</w:t>
      </w:r>
      <w:r>
        <w:rPr>
          <w:rFonts w:ascii="宋体" w:hAnsi="宋体"/>
        </w:rPr>
        <w:br w:type="textWrapping"/>
      </w:r>
      <w:r>
        <w:rPr>
          <w:rFonts w:hint="eastAsia" w:ascii="宋体" w:hAnsi="宋体"/>
        </w:rPr>
        <w:t>  （</w:t>
      </w:r>
      <w:r>
        <w:rPr>
          <w:rFonts w:ascii="宋体" w:hAnsi="宋体"/>
        </w:rPr>
        <w:t>4）不同投标人的投标文件异常一致或者投标报价呈规律性差异；</w:t>
      </w:r>
      <w:r>
        <w:rPr>
          <w:rFonts w:ascii="宋体" w:hAnsi="宋体"/>
        </w:rPr>
        <w:br w:type="textWrapping"/>
      </w:r>
      <w:r>
        <w:rPr>
          <w:rFonts w:hint="eastAsia" w:ascii="宋体" w:hAnsi="宋体"/>
        </w:rPr>
        <w:t>  （</w:t>
      </w:r>
      <w:r>
        <w:rPr>
          <w:rFonts w:ascii="宋体" w:hAnsi="宋体"/>
        </w:rPr>
        <w:t>5）不同投标人的投标文件相互混装；</w:t>
      </w:r>
      <w:r>
        <w:rPr>
          <w:rFonts w:ascii="宋体" w:hAnsi="宋体"/>
        </w:rPr>
        <w:br w:type="textWrapping"/>
      </w:r>
      <w:r>
        <w:rPr>
          <w:rFonts w:hint="eastAsia" w:ascii="宋体" w:hAnsi="宋体"/>
        </w:rPr>
        <w:t>  （</w:t>
      </w:r>
      <w:r>
        <w:rPr>
          <w:rFonts w:ascii="宋体" w:hAnsi="宋体"/>
        </w:rPr>
        <w:t>6）不同投标人的投标保证金从同一单位或者个人的账户转出。</w:t>
      </w:r>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rPr>
        <w:t>3</w:t>
      </w:r>
      <w:r>
        <w:rPr>
          <w:rFonts w:ascii="宋体" w:hAnsi="宋体"/>
        </w:rPr>
        <w:t>.</w:t>
      </w:r>
      <w:r>
        <w:rPr>
          <w:rFonts w:hint="eastAsia" w:ascii="宋体" w:hAnsi="宋体"/>
        </w:rPr>
        <w:t>使用通过受让或者租借等方式获取的资格、资质证书投标的，属于以他人名义投标。</w:t>
      </w:r>
      <w:r>
        <w:rPr>
          <w:rFonts w:ascii="宋体" w:hAnsi="宋体"/>
        </w:rPr>
        <w:br w:type="textWrapping"/>
      </w:r>
      <w:r>
        <w:rPr>
          <w:rFonts w:hint="eastAsia" w:ascii="宋体" w:hAnsi="宋体"/>
        </w:rPr>
        <w:t>  </w:t>
      </w:r>
      <w:r>
        <w:rPr>
          <w:rFonts w:ascii="宋体" w:hAnsi="宋体"/>
        </w:rPr>
        <w:t>4.</w:t>
      </w:r>
      <w:r>
        <w:rPr>
          <w:rFonts w:hint="eastAsia" w:ascii="宋体" w:hAnsi="宋体"/>
        </w:rPr>
        <w:t>投标人有下列情形之一的，属于以其他方式弄虚作假的行为：</w:t>
      </w:r>
      <w:r>
        <w:rPr>
          <w:rFonts w:ascii="宋体" w:hAnsi="宋体"/>
        </w:rPr>
        <w:br w:type="textWrapping"/>
      </w:r>
      <w:r>
        <w:rPr>
          <w:rFonts w:hint="eastAsia" w:ascii="宋体" w:hAnsi="宋体"/>
        </w:rPr>
        <w:t>  （1）使用伪造、变造的许可证件；</w:t>
      </w:r>
      <w:r>
        <w:rPr>
          <w:rFonts w:ascii="宋体" w:hAnsi="宋体"/>
        </w:rPr>
        <w:br w:type="textWrapping"/>
      </w:r>
      <w:r>
        <w:rPr>
          <w:rFonts w:hint="eastAsia" w:ascii="宋体" w:hAnsi="宋体"/>
        </w:rPr>
        <w:t>  （2）提供虚假的财务状况或者业绩；</w:t>
      </w:r>
      <w:r>
        <w:rPr>
          <w:rFonts w:ascii="宋体" w:hAnsi="宋体"/>
        </w:rPr>
        <w:br w:type="textWrapping"/>
      </w:r>
      <w:r>
        <w:rPr>
          <w:rFonts w:hint="eastAsia" w:ascii="宋体" w:hAnsi="宋体"/>
        </w:rPr>
        <w:t>  （3）提供虚假的项目负责人或者主要技术人员简历、劳动关系证明；</w:t>
      </w:r>
      <w:r>
        <w:rPr>
          <w:rFonts w:ascii="宋体" w:hAnsi="宋体"/>
        </w:rPr>
        <w:br w:type="textWrapping"/>
      </w:r>
      <w:r>
        <w:rPr>
          <w:rFonts w:hint="eastAsia" w:ascii="宋体" w:hAnsi="宋体"/>
        </w:rPr>
        <w:t>  （4）提供虚假的信用状况；</w:t>
      </w:r>
      <w:r>
        <w:rPr>
          <w:rFonts w:ascii="宋体" w:hAnsi="宋体"/>
        </w:rPr>
        <w:br w:type="textWrapping"/>
      </w:r>
      <w:r>
        <w:rPr>
          <w:rFonts w:ascii="宋体" w:hAnsi="宋体"/>
        </w:rPr>
        <w:t xml:space="preserve">    （</w:t>
      </w:r>
      <w:r>
        <w:rPr>
          <w:rFonts w:hint="eastAsia" w:ascii="宋体" w:hAnsi="宋体"/>
        </w:rPr>
        <w:t>5</w:t>
      </w:r>
      <w:r>
        <w:rPr>
          <w:rFonts w:ascii="宋体" w:hAnsi="宋体"/>
        </w:rPr>
        <w:t>）其他弄虚作假的行为。</w:t>
      </w:r>
    </w:p>
    <w:p>
      <w:pPr>
        <w:widowControl/>
        <w:snapToGrid w:val="0"/>
        <w:spacing w:line="400" w:lineRule="exact"/>
        <w:jc w:val="left"/>
        <w:outlineLvl w:val="2"/>
        <w:rPr>
          <w:rFonts w:ascii="宋体" w:hAnsi="宋体"/>
          <w:b/>
          <w:bCs/>
          <w:snapToGrid w:val="0"/>
          <w:kern w:val="0"/>
          <w:szCs w:val="21"/>
        </w:rPr>
      </w:pPr>
      <w:bookmarkStart w:id="171" w:name="_Toc5724"/>
      <w:bookmarkStart w:id="172" w:name="_Toc200513175"/>
      <w:bookmarkStart w:id="173" w:name="_Toc291847064"/>
      <w:r>
        <w:rPr>
          <w:rFonts w:ascii="宋体" w:hAnsi="宋体"/>
          <w:b/>
          <w:bCs/>
          <w:snapToGrid w:val="0"/>
          <w:kern w:val="0"/>
          <w:szCs w:val="21"/>
        </w:rPr>
        <w:t xml:space="preserve">9.3  </w:t>
      </w:r>
      <w:r>
        <w:rPr>
          <w:rFonts w:hint="eastAsia" w:ascii="宋体" w:hAnsi="宋体"/>
          <w:b/>
          <w:bCs/>
          <w:snapToGrid w:val="0"/>
          <w:kern w:val="0"/>
          <w:szCs w:val="21"/>
        </w:rPr>
        <w:t>对评标委员会成员的纪律要求</w:t>
      </w:r>
      <w:bookmarkEnd w:id="171"/>
      <w:bookmarkEnd w:id="172"/>
      <w:bookmarkEnd w:id="173"/>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400" w:lineRule="exact"/>
        <w:jc w:val="left"/>
        <w:outlineLvl w:val="2"/>
        <w:rPr>
          <w:rFonts w:ascii="宋体" w:hAnsi="宋体"/>
          <w:b/>
          <w:bCs/>
          <w:snapToGrid w:val="0"/>
          <w:kern w:val="0"/>
          <w:szCs w:val="21"/>
        </w:rPr>
      </w:pPr>
      <w:bookmarkStart w:id="174" w:name="_Toc200513176"/>
      <w:bookmarkStart w:id="175" w:name="_Toc29180"/>
      <w:bookmarkStart w:id="176" w:name="_Toc291847065"/>
      <w:r>
        <w:rPr>
          <w:rFonts w:ascii="宋体" w:hAnsi="宋体"/>
          <w:b/>
          <w:bCs/>
          <w:snapToGrid w:val="0"/>
          <w:kern w:val="0"/>
          <w:szCs w:val="21"/>
        </w:rPr>
        <w:t xml:space="preserve">9.4  </w:t>
      </w:r>
      <w:r>
        <w:rPr>
          <w:rFonts w:hint="eastAsia" w:ascii="宋体" w:hAnsi="宋体"/>
          <w:b/>
          <w:bCs/>
          <w:snapToGrid w:val="0"/>
          <w:kern w:val="0"/>
          <w:szCs w:val="21"/>
        </w:rPr>
        <w:t>对与评标活动有关的工作人员的纪律要求</w:t>
      </w:r>
      <w:bookmarkEnd w:id="174"/>
      <w:bookmarkEnd w:id="175"/>
      <w:bookmarkEnd w:id="176"/>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napToGrid w:val="0"/>
        <w:spacing w:line="400" w:lineRule="exact"/>
        <w:jc w:val="left"/>
        <w:outlineLvl w:val="2"/>
        <w:rPr>
          <w:rFonts w:ascii="宋体" w:hAnsi="宋体"/>
          <w:b/>
          <w:bCs/>
          <w:snapToGrid w:val="0"/>
          <w:kern w:val="0"/>
          <w:szCs w:val="21"/>
        </w:rPr>
      </w:pPr>
      <w:bookmarkStart w:id="177" w:name="_Toc291847066"/>
      <w:bookmarkStart w:id="178" w:name="_Toc14294"/>
      <w:bookmarkStart w:id="179" w:name="_Toc200513177"/>
      <w:r>
        <w:rPr>
          <w:rFonts w:ascii="宋体" w:hAnsi="宋体"/>
          <w:b/>
          <w:bCs/>
          <w:snapToGrid w:val="0"/>
          <w:kern w:val="0"/>
          <w:szCs w:val="21"/>
        </w:rPr>
        <w:t xml:space="preserve">9.5  </w:t>
      </w:r>
      <w:r>
        <w:rPr>
          <w:rFonts w:hint="eastAsia" w:ascii="宋体" w:hAnsi="宋体"/>
          <w:b/>
          <w:bCs/>
          <w:snapToGrid w:val="0"/>
          <w:kern w:val="0"/>
          <w:szCs w:val="21"/>
        </w:rPr>
        <w:t>投诉</w:t>
      </w:r>
      <w:bookmarkEnd w:id="177"/>
      <w:bookmarkEnd w:id="178"/>
      <w:bookmarkEnd w:id="179"/>
    </w:p>
    <w:p>
      <w:pPr>
        <w:autoSpaceDE w:val="0"/>
        <w:autoSpaceDN w:val="0"/>
        <w:adjustRightInd w:val="0"/>
        <w:snapToGrid w:val="0"/>
        <w:spacing w:line="400" w:lineRule="exact"/>
        <w:ind w:firstLine="420"/>
        <w:rPr>
          <w:rFonts w:ascii="宋体" w:hAnsi="宋体"/>
          <w:snapToGrid w:val="0"/>
          <w:kern w:val="0"/>
          <w:szCs w:val="21"/>
        </w:rPr>
      </w:pPr>
      <w:r>
        <w:rPr>
          <w:rFonts w:hint="eastAsia" w:ascii="宋体" w:hAnsi="宋体"/>
          <w:snapToGrid w:val="0"/>
          <w:kern w:val="0"/>
          <w:szCs w:val="21"/>
        </w:rPr>
        <w:t>投标人或其他利害关系人认为招标文件内容违法或不当的</w:t>
      </w:r>
      <w:r>
        <w:rPr>
          <w:rFonts w:ascii="宋体" w:hAnsi="宋体"/>
          <w:snapToGrid w:val="0"/>
          <w:kern w:val="0"/>
          <w:szCs w:val="21"/>
        </w:rPr>
        <w:t>,应当在投标文件截止时间前提出异议或投诉;认为开标活动违法或不当的,应当在开标现场向招标人提出异议,招标人应立即答复;认为评标结果不公正的,应当在中标候选人公示期间先向招标人提出异议,招标人应在公示期结束后二日内答复。投标人或其他利害关系人对招标人的答复不满意，或招标人未答复的，可向有关行政部门投诉。</w:t>
      </w:r>
      <w:bookmarkStart w:id="180" w:name="_Toc20105"/>
      <w:bookmarkStart w:id="181" w:name="_Toc291847067"/>
      <w:bookmarkStart w:id="182" w:name="_Toc200513178"/>
    </w:p>
    <w:p>
      <w:pPr>
        <w:widowControl/>
        <w:snapToGrid w:val="0"/>
        <w:spacing w:line="400" w:lineRule="exact"/>
        <w:jc w:val="left"/>
        <w:outlineLvl w:val="2"/>
        <w:rPr>
          <w:rFonts w:ascii="宋体" w:hAnsi="宋体"/>
          <w:b/>
          <w:bCs/>
          <w:snapToGrid w:val="0"/>
          <w:kern w:val="0"/>
          <w:szCs w:val="21"/>
        </w:rPr>
      </w:pPr>
      <w:r>
        <w:rPr>
          <w:rFonts w:ascii="宋体" w:hAnsi="宋体"/>
          <w:b/>
          <w:bCs/>
          <w:snapToGrid w:val="0"/>
          <w:kern w:val="0"/>
          <w:szCs w:val="21"/>
        </w:rPr>
        <w:t xml:space="preserve">10. </w:t>
      </w:r>
      <w:r>
        <w:rPr>
          <w:rFonts w:hint="eastAsia" w:ascii="宋体" w:hAnsi="宋体"/>
          <w:b/>
          <w:bCs/>
          <w:snapToGrid w:val="0"/>
          <w:kern w:val="0"/>
          <w:szCs w:val="21"/>
        </w:rPr>
        <w:t>需要补充的其他内容</w:t>
      </w:r>
      <w:bookmarkEnd w:id="180"/>
      <w:bookmarkEnd w:id="181"/>
      <w:bookmarkEnd w:id="182"/>
    </w:p>
    <w:p>
      <w:pPr>
        <w:spacing w:line="400" w:lineRule="exact"/>
        <w:ind w:firstLine="420" w:firstLineChars="200"/>
        <w:rPr>
          <w:rFonts w:ascii="宋体" w:hAnsi="宋体"/>
        </w:rPr>
      </w:pPr>
      <w:r>
        <w:rPr>
          <w:rFonts w:hint="eastAsia" w:ascii="宋体" w:hAnsi="宋体"/>
          <w:snapToGrid w:val="0"/>
          <w:kern w:val="0"/>
          <w:szCs w:val="21"/>
        </w:rPr>
        <w:t>需要补充的其他内容：见投标人须知前附表。</w:t>
      </w:r>
    </w:p>
    <w:p>
      <w:pPr>
        <w:rPr>
          <w:rFonts w:ascii="宋体" w:hAnsi="宋体"/>
        </w:rPr>
      </w:pPr>
      <w:r>
        <w:rPr>
          <w:rFonts w:ascii="宋体" w:hAnsi="宋体"/>
        </w:rPr>
        <w:br w:type="page"/>
      </w:r>
      <w:bookmarkStart w:id="183" w:name="_Toc287607854"/>
      <w:bookmarkStart w:id="184" w:name="F6102ACA19974746A180FCBC8DA401C4"/>
    </w:p>
    <w:bookmarkEnd w:id="183"/>
    <w:bookmarkEnd w:id="184"/>
    <w:p>
      <w:pPr>
        <w:pStyle w:val="3"/>
        <w:spacing w:line="288" w:lineRule="auto"/>
        <w:jc w:val="center"/>
        <w:rPr>
          <w:rFonts w:ascii="宋体" w:hAnsi="宋体"/>
        </w:rPr>
      </w:pPr>
      <w:bookmarkStart w:id="185" w:name="_Toc453838432"/>
      <w:bookmarkStart w:id="186" w:name="_Toc523907254"/>
      <w:bookmarkStart w:id="187" w:name="_Toc73546946"/>
      <w:bookmarkStart w:id="188" w:name="_Toc354501687"/>
      <w:bookmarkStart w:id="189" w:name="_Toc277082618"/>
      <w:bookmarkStart w:id="190" w:name="_Toc224103384"/>
      <w:bookmarkStart w:id="191" w:name="_Toc287607812"/>
      <w:bookmarkStart w:id="192" w:name="_Toc200513198"/>
      <w:bookmarkStart w:id="193" w:name="_Toc423790623"/>
      <w:r>
        <w:rPr>
          <w:rFonts w:hint="eastAsia" w:ascii="宋体" w:hAnsi="宋体"/>
        </w:rPr>
        <w:t>第三章</w:t>
      </w:r>
      <w:r>
        <w:rPr>
          <w:rFonts w:hint="eastAsia" w:ascii="宋体" w:hAnsi="宋体"/>
          <w:lang w:val="en-US" w:eastAsia="zh-CN"/>
        </w:rPr>
        <w:t xml:space="preserve"> </w:t>
      </w:r>
      <w:r>
        <w:rPr>
          <w:rFonts w:hint="eastAsia" w:ascii="宋体" w:hAnsi="宋体"/>
        </w:rPr>
        <w:t>评标办法(综合评估法)</w:t>
      </w:r>
      <w:bookmarkEnd w:id="185"/>
      <w:bookmarkEnd w:id="186"/>
      <w:bookmarkEnd w:id="187"/>
      <w:bookmarkEnd w:id="188"/>
    </w:p>
    <w:p>
      <w:pPr>
        <w:rPr>
          <w:rFonts w:ascii="宋体" w:hAnsi="宋体"/>
          <w:szCs w:val="21"/>
        </w:rPr>
      </w:pPr>
      <w:bookmarkStart w:id="194" w:name="_Toc523907255"/>
      <w:bookmarkStart w:id="195" w:name="_Toc287607811"/>
      <w:bookmarkStart w:id="196" w:name="_Toc354501688"/>
      <w:bookmarkStart w:id="197" w:name="_Toc224103383"/>
      <w:bookmarkStart w:id="198" w:name="_Toc277082617"/>
      <w:bookmarkStart w:id="199" w:name="_Toc453838433"/>
      <w:r>
        <w:rPr>
          <w:rFonts w:hint="eastAsia" w:ascii="宋体" w:hAnsi="宋体"/>
          <w:b/>
          <w:szCs w:val="21"/>
        </w:rPr>
        <w:t>评标办法前附表</w:t>
      </w:r>
      <w:bookmarkEnd w:id="194"/>
      <w:bookmarkEnd w:id="195"/>
      <w:bookmarkEnd w:id="196"/>
      <w:bookmarkEnd w:id="197"/>
      <w:bookmarkEnd w:id="198"/>
      <w:bookmarkEnd w:id="199"/>
    </w:p>
    <w:p>
      <w:pPr>
        <w:rPr>
          <w:rFonts w:ascii="宋体" w:hAnsi="宋体"/>
          <w:szCs w:val="21"/>
        </w:rPr>
      </w:pPr>
      <w:r>
        <w:rPr>
          <w:rFonts w:hint="eastAsia" w:ascii="宋体" w:hAnsi="宋体"/>
          <w:b/>
          <w:szCs w:val="21"/>
        </w:rPr>
        <w:t>评</w:t>
      </w:r>
      <w:r>
        <w:rPr>
          <w:rFonts w:ascii="宋体" w:hAnsi="宋体"/>
          <w:b/>
          <w:szCs w:val="21"/>
        </w:rPr>
        <w:t>标办法</w:t>
      </w:r>
      <w:r>
        <w:rPr>
          <w:rFonts w:hint="eastAsia" w:ascii="宋体" w:hAnsi="宋体"/>
          <w:b/>
          <w:szCs w:val="21"/>
        </w:rPr>
        <w:t>前</w:t>
      </w:r>
      <w:r>
        <w:rPr>
          <w:rFonts w:ascii="宋体" w:hAnsi="宋体"/>
          <w:b/>
          <w:szCs w:val="21"/>
        </w:rPr>
        <w:t>附表与</w:t>
      </w:r>
      <w:r>
        <w:rPr>
          <w:rFonts w:hint="eastAsia" w:ascii="宋体" w:hAnsi="宋体"/>
          <w:b/>
          <w:szCs w:val="21"/>
        </w:rPr>
        <w:t>正</w:t>
      </w:r>
      <w:r>
        <w:rPr>
          <w:rFonts w:ascii="宋体" w:hAnsi="宋体"/>
          <w:b/>
          <w:szCs w:val="21"/>
        </w:rPr>
        <w:t>文不一致的</w:t>
      </w:r>
      <w:r>
        <w:rPr>
          <w:rFonts w:hint="eastAsia" w:ascii="宋体" w:hAnsi="宋体"/>
          <w:b/>
          <w:szCs w:val="21"/>
        </w:rPr>
        <w:t>，以</w:t>
      </w:r>
      <w:r>
        <w:rPr>
          <w:rFonts w:ascii="宋体" w:hAnsi="宋体"/>
          <w:b/>
          <w:szCs w:val="21"/>
        </w:rPr>
        <w:t>评标办法前附表为准</w:t>
      </w:r>
    </w:p>
    <w:tbl>
      <w:tblPr>
        <w:tblStyle w:val="5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99"/>
        <w:gridCol w:w="1134"/>
        <w:gridCol w:w="1134"/>
        <w:gridCol w:w="709"/>
        <w:gridCol w:w="567"/>
        <w:gridCol w:w="31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rPr>
            </w:pPr>
            <w:r>
              <w:rPr>
                <w:rFonts w:hint="eastAsia" w:ascii="宋体" w:hAnsi="宋体"/>
                <w:b/>
                <w:kern w:val="0"/>
              </w:rPr>
              <w:t>条款号</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rPr>
            </w:pPr>
            <w:r>
              <w:rPr>
                <w:rFonts w:hint="eastAsia" w:ascii="宋体" w:hAnsi="宋体"/>
                <w:b/>
                <w:kern w:val="0"/>
              </w:rPr>
              <w:t>评审因素</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rPr>
            </w:pPr>
            <w:r>
              <w:rPr>
                <w:rFonts w:hint="eastAsia" w:ascii="宋体" w:hAnsi="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7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ascii="宋体" w:hAnsi="宋体"/>
                <w:kern w:val="0"/>
              </w:rPr>
              <w:t>2.1.1</w:t>
            </w:r>
          </w:p>
        </w:tc>
        <w:tc>
          <w:tcPr>
            <w:tcW w:w="1633"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kern w:val="0"/>
              </w:rPr>
            </w:pPr>
            <w:r>
              <w:rPr>
                <w:rFonts w:hint="eastAsia" w:ascii="宋体" w:hAnsi="宋体"/>
                <w:kern w:val="0"/>
              </w:rPr>
              <w:t>形式评审标准</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投标人名称</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投标函签字盖章</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kern w:val="0"/>
              </w:rPr>
            </w:pPr>
            <w:r>
              <w:rPr>
                <w:rFonts w:hint="eastAsia" w:ascii="宋体" w:hAnsi="宋体"/>
                <w:kern w:val="0"/>
              </w:rPr>
              <w:t>有法定代表人或其委托代理人签字、加盖单位章。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投标文件格式</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kern w:val="0"/>
              </w:rPr>
            </w:pPr>
            <w:r>
              <w:rPr>
                <w:rFonts w:hint="eastAsia" w:ascii="宋体" w:hAnsi="宋体"/>
                <w:kern w:val="0"/>
              </w:rPr>
              <w:t>符合第六章“投标文件格式”的要求，字迹清晰可辨。</w:t>
            </w:r>
          </w:p>
          <w:p>
            <w:pPr>
              <w:ind w:firstLine="380" w:firstLineChars="181"/>
              <w:rPr>
                <w:rFonts w:ascii="宋体" w:hAnsi="宋体"/>
                <w:kern w:val="0"/>
              </w:rPr>
            </w:pPr>
            <w:r>
              <w:rPr>
                <w:rFonts w:ascii="宋体" w:hAnsi="宋体"/>
                <w:kern w:val="0"/>
              </w:rPr>
              <w:t>1.投标函的所有数据均符合招标文件的规定；</w:t>
            </w:r>
          </w:p>
          <w:p>
            <w:pPr>
              <w:ind w:firstLine="380" w:firstLineChars="181"/>
              <w:rPr>
                <w:rFonts w:ascii="宋体" w:hAnsi="宋体"/>
                <w:kern w:val="0"/>
              </w:rPr>
            </w:pPr>
            <w:r>
              <w:rPr>
                <w:rFonts w:ascii="宋体" w:hAnsi="宋体"/>
                <w:kern w:val="0"/>
              </w:rPr>
              <w:t>2.投标文件附表齐全完整，内容均按规定填写；</w:t>
            </w:r>
          </w:p>
          <w:p>
            <w:pPr>
              <w:ind w:firstLine="380" w:firstLineChars="181"/>
              <w:rPr>
                <w:rFonts w:ascii="宋体" w:hAnsi="宋体"/>
                <w:kern w:val="0"/>
              </w:rPr>
            </w:pPr>
            <w:r>
              <w:rPr>
                <w:rFonts w:ascii="宋体" w:hAnsi="宋体"/>
                <w:kern w:val="0"/>
              </w:rPr>
              <w:t>3.按规定提供了拟投入的主要人员的证件复印件，证件清晰可辨、有效；</w:t>
            </w:r>
          </w:p>
          <w:p>
            <w:pPr>
              <w:ind w:firstLine="380" w:firstLineChars="181"/>
              <w:rPr>
                <w:rFonts w:ascii="宋体" w:hAnsi="宋体"/>
                <w:kern w:val="0"/>
              </w:rPr>
            </w:pPr>
            <w:r>
              <w:rPr>
                <w:rFonts w:ascii="宋体" w:hAnsi="宋体"/>
                <w:kern w:val="0"/>
              </w:rPr>
              <w:t>4.投标文件的编制符合第二章3.7款的规定。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报价唯一</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ind w:firstLine="380" w:firstLineChars="181"/>
              <w:rPr>
                <w:rFonts w:ascii="宋体" w:hAnsi="宋体"/>
                <w:kern w:val="0"/>
              </w:rPr>
            </w:pPr>
            <w:r>
              <w:rPr>
                <w:rFonts w:hint="eastAsia" w:ascii="宋体" w:hAnsi="宋体"/>
                <w:kern w:val="0"/>
              </w:rPr>
              <w:t>只能有一个有效的投标报价，且报价唯一。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投标文件的签署</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ind w:firstLine="380" w:firstLineChars="181"/>
              <w:rPr>
                <w:rFonts w:ascii="宋体" w:hAnsi="宋体"/>
                <w:kern w:val="0"/>
              </w:rPr>
            </w:pPr>
            <w:r>
              <w:rPr>
                <w:rFonts w:hint="eastAsia" w:ascii="宋体" w:hAnsi="宋体"/>
                <w:kern w:val="0"/>
              </w:rPr>
              <w:t>投标文件上法定代表人或其授权代理人的签字或盖章齐全。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委托代理人</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ind w:firstLine="380" w:firstLineChars="181"/>
              <w:rPr>
                <w:rFonts w:ascii="宋体" w:hAnsi="宋体"/>
                <w:kern w:val="0"/>
              </w:rPr>
            </w:pPr>
            <w:r>
              <w:rPr>
                <w:rFonts w:hint="eastAsia" w:ascii="宋体" w:hAnsi="宋体"/>
                <w:kern w:val="0"/>
              </w:rPr>
              <w:t>投标人法定代表人的委托代理人有法定代表人签署的授权委托书，且其授权委托书符合招标文件规定的格式。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ascii="宋体" w:hAnsi="宋体"/>
                <w:kern w:val="0"/>
              </w:rPr>
              <w:t>2.1.2</w:t>
            </w:r>
          </w:p>
        </w:tc>
        <w:tc>
          <w:tcPr>
            <w:tcW w:w="1633" w:type="dxa"/>
            <w:gridSpan w:val="2"/>
            <w:vMerge w:val="restart"/>
            <w:tcBorders>
              <w:top w:val="single" w:color="auto" w:sz="4" w:space="0"/>
              <w:left w:val="single" w:color="auto" w:sz="4" w:space="0"/>
              <w:right w:val="single" w:color="auto" w:sz="4" w:space="0"/>
            </w:tcBorders>
            <w:textDirection w:val="tbRlV"/>
            <w:vAlign w:val="center"/>
          </w:tcPr>
          <w:p>
            <w:pPr>
              <w:ind w:left="113" w:right="113"/>
              <w:rPr>
                <w:rFonts w:ascii="宋体" w:hAnsi="宋体"/>
                <w:kern w:val="0"/>
              </w:rPr>
            </w:pPr>
          </w:p>
          <w:p>
            <w:pPr>
              <w:ind w:left="113" w:right="113"/>
              <w:rPr>
                <w:rFonts w:ascii="宋体" w:hAnsi="宋体"/>
                <w:kern w:val="0"/>
              </w:rPr>
            </w:pPr>
            <w:r>
              <w:rPr>
                <w:rFonts w:hint="eastAsia" w:ascii="宋体" w:hAnsi="宋体"/>
                <w:kern w:val="0"/>
              </w:rPr>
              <w:t>资格评审标准</w:t>
            </w:r>
          </w:p>
          <w:p>
            <w:pPr>
              <w:ind w:left="113" w:right="113"/>
              <w:jc w:val="center"/>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营业执照</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ind w:firstLine="380" w:firstLineChars="181"/>
              <w:rPr>
                <w:rFonts w:ascii="宋体" w:hAnsi="宋体"/>
                <w:kern w:val="0"/>
              </w:rPr>
            </w:pPr>
            <w:r>
              <w:rPr>
                <w:rFonts w:hint="eastAsia" w:ascii="宋体" w:hAnsi="宋体"/>
                <w:kern w:val="0"/>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人员要求</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符合第二章“投标人须知”第</w:t>
            </w:r>
            <w:r>
              <w:rPr>
                <w:rFonts w:ascii="宋体" w:hAnsi="宋体"/>
                <w:kern w:val="0"/>
              </w:rPr>
              <w:t>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信誉要求</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符合第二章“投标人须知”第</w:t>
            </w:r>
            <w:r>
              <w:rPr>
                <w:rFonts w:ascii="宋体" w:hAnsi="宋体"/>
                <w:kern w:val="0"/>
              </w:rPr>
              <w:t>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其它要求</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u w:val="single"/>
              </w:rPr>
            </w:pPr>
            <w:r>
              <w:rPr>
                <w:rFonts w:hint="eastAsia" w:ascii="宋体" w:hAnsi="宋体"/>
                <w:kern w:val="0"/>
              </w:rPr>
              <w:t>符合第二章“投标人须知”第</w:t>
            </w:r>
            <w:r>
              <w:rPr>
                <w:rFonts w:ascii="宋体" w:hAnsi="宋体"/>
                <w:kern w:val="0"/>
              </w:rPr>
              <w:t>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743" w:type="dxa"/>
            <w:vMerge w:val="restart"/>
            <w:tcBorders>
              <w:top w:val="single" w:color="auto" w:sz="4" w:space="0"/>
              <w:left w:val="single" w:color="auto" w:sz="4" w:space="0"/>
              <w:right w:val="single" w:color="auto" w:sz="4" w:space="0"/>
            </w:tcBorders>
            <w:vAlign w:val="center"/>
          </w:tcPr>
          <w:p>
            <w:pPr>
              <w:jc w:val="center"/>
              <w:rPr>
                <w:rFonts w:ascii="宋体" w:hAnsi="宋体"/>
                <w:kern w:val="0"/>
              </w:rPr>
            </w:pPr>
            <w:r>
              <w:rPr>
                <w:rFonts w:ascii="宋体" w:hAnsi="宋体"/>
                <w:kern w:val="0"/>
              </w:rPr>
              <w:t>2.1.3</w:t>
            </w:r>
          </w:p>
        </w:tc>
        <w:tc>
          <w:tcPr>
            <w:tcW w:w="1633"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kern w:val="0"/>
              </w:rPr>
            </w:pPr>
            <w:r>
              <w:rPr>
                <w:rFonts w:hint="eastAsia" w:ascii="宋体" w:hAnsi="宋体"/>
                <w:kern w:val="0"/>
              </w:rPr>
              <w:t>响应性评审标准</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投标报价</w:t>
            </w:r>
          </w:p>
        </w:tc>
        <w:tc>
          <w:tcPr>
            <w:tcW w:w="4678" w:type="dxa"/>
            <w:gridSpan w:val="2"/>
            <w:tcBorders>
              <w:top w:val="single" w:color="auto" w:sz="4" w:space="0"/>
              <w:left w:val="single" w:color="auto" w:sz="4" w:space="0"/>
              <w:bottom w:val="single" w:color="auto" w:sz="4" w:space="0"/>
              <w:right w:val="single" w:color="auto" w:sz="4" w:space="0"/>
            </w:tcBorders>
          </w:tcPr>
          <w:p>
            <w:pPr>
              <w:rPr>
                <w:rFonts w:ascii="宋体" w:hAnsi="宋体"/>
                <w:kern w:val="0"/>
              </w:rPr>
            </w:pPr>
            <w:r>
              <w:rPr>
                <w:rFonts w:hint="eastAsia" w:ascii="宋体" w:hAnsi="宋体"/>
                <w:kern w:val="0"/>
              </w:rPr>
              <w:t>投标报价不得高于招标人公布的最高限价。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43" w:type="dxa"/>
            <w:vMerge w:val="continue"/>
            <w:tcBorders>
              <w:left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投标内容</w:t>
            </w:r>
          </w:p>
        </w:tc>
        <w:tc>
          <w:tcPr>
            <w:tcW w:w="4678"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kern w:val="0"/>
              </w:rPr>
            </w:pPr>
            <w:r>
              <w:rPr>
                <w:rFonts w:hint="eastAsia" w:ascii="宋体" w:hAnsi="宋体"/>
                <w:kern w:val="0"/>
              </w:rPr>
              <w:t>符合第二章“投标人须知”第</w:t>
            </w:r>
            <w:r>
              <w:rPr>
                <w:rFonts w:ascii="宋体" w:hAnsi="宋体"/>
                <w:kern w:val="0"/>
              </w:rPr>
              <w:t>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43" w:type="dxa"/>
            <w:vMerge w:val="continue"/>
            <w:tcBorders>
              <w:left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服务期</w:t>
            </w:r>
          </w:p>
        </w:tc>
        <w:tc>
          <w:tcPr>
            <w:tcW w:w="4678"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kern w:val="0"/>
              </w:rPr>
            </w:pPr>
            <w:r>
              <w:rPr>
                <w:rFonts w:hint="eastAsia" w:ascii="宋体" w:hAnsi="宋体"/>
                <w:kern w:val="0"/>
              </w:rPr>
              <w:t>符合第二章“投标人须知”第</w:t>
            </w:r>
            <w:r>
              <w:rPr>
                <w:rFonts w:ascii="宋体" w:hAnsi="宋体"/>
                <w:kern w:val="0"/>
              </w:rPr>
              <w:t>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743" w:type="dxa"/>
            <w:vMerge w:val="continue"/>
            <w:tcBorders>
              <w:left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投标有效期</w:t>
            </w:r>
          </w:p>
        </w:tc>
        <w:tc>
          <w:tcPr>
            <w:tcW w:w="4678"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kern w:val="0"/>
              </w:rPr>
            </w:pPr>
            <w:r>
              <w:rPr>
                <w:rFonts w:hint="eastAsia" w:ascii="宋体" w:hAnsi="宋体"/>
                <w:kern w:val="0"/>
              </w:rPr>
              <w:t>符合第二章“投标人须知”第</w:t>
            </w:r>
            <w:r>
              <w:rPr>
                <w:rFonts w:ascii="宋体" w:hAnsi="宋体"/>
                <w:kern w:val="0"/>
              </w:rPr>
              <w:t>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43" w:type="dxa"/>
            <w:vMerge w:val="continue"/>
            <w:tcBorders>
              <w:left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投标保证金</w:t>
            </w:r>
          </w:p>
        </w:tc>
        <w:tc>
          <w:tcPr>
            <w:tcW w:w="4678" w:type="dxa"/>
            <w:gridSpan w:val="2"/>
            <w:tcBorders>
              <w:top w:val="single" w:color="auto" w:sz="4" w:space="0"/>
              <w:left w:val="single" w:color="auto" w:sz="4" w:space="0"/>
              <w:bottom w:val="single" w:color="auto" w:sz="4" w:space="0"/>
              <w:right w:val="single" w:color="auto" w:sz="4" w:space="0"/>
            </w:tcBorders>
          </w:tcPr>
          <w:p>
            <w:pPr>
              <w:ind w:firstLine="380" w:firstLineChars="181"/>
              <w:rPr>
                <w:rFonts w:ascii="宋体" w:hAnsi="宋体"/>
                <w:kern w:val="0"/>
              </w:rPr>
            </w:pPr>
            <w:r>
              <w:rPr>
                <w:rFonts w:hint="eastAsia" w:ascii="宋体" w:hAnsi="宋体"/>
                <w:kern w:val="0"/>
              </w:rPr>
              <w:t>符合第二章投标人须知前附表第</w:t>
            </w:r>
            <w:r>
              <w:rPr>
                <w:rFonts w:ascii="宋体" w:hAnsi="宋体"/>
                <w:kern w:val="0"/>
              </w:rPr>
              <w:t>3.4.1项规定，并符合下列要求：</w:t>
            </w:r>
          </w:p>
          <w:p>
            <w:pPr>
              <w:ind w:firstLine="380" w:firstLineChars="181"/>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投标保证金的金额符合招标文件规定的金额；</w:t>
            </w:r>
          </w:p>
          <w:p>
            <w:pPr>
              <w:tabs>
                <w:tab w:val="left" w:pos="601"/>
              </w:tabs>
              <w:ind w:left="380"/>
              <w:rPr>
                <w:rFonts w:ascii="宋体" w:hAnsi="宋体"/>
                <w:kern w:val="0"/>
              </w:rPr>
            </w:pPr>
            <w:r>
              <w:rPr>
                <w:rFonts w:hint="eastAsia" w:ascii="宋体" w:hAnsi="宋体"/>
                <w:kern w:val="0"/>
              </w:rPr>
              <w:t>2</w:t>
            </w:r>
            <w:r>
              <w:rPr>
                <w:rFonts w:ascii="宋体" w:hAnsi="宋体"/>
                <w:kern w:val="0"/>
              </w:rPr>
              <w:t>.</w:t>
            </w:r>
            <w:r>
              <w:rPr>
                <w:rFonts w:hint="eastAsia" w:ascii="宋体" w:hAnsi="宋体"/>
                <w:kern w:val="0"/>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3" w:type="dxa"/>
            <w:vMerge w:val="continue"/>
            <w:tcBorders>
              <w:left w:val="single" w:color="auto" w:sz="4" w:space="0"/>
              <w:right w:val="single" w:color="auto" w:sz="4" w:space="0"/>
            </w:tcBorders>
            <w:vAlign w:val="center"/>
          </w:tcPr>
          <w:p>
            <w:pPr>
              <w:widowControl/>
              <w:jc w:val="left"/>
              <w:rPr>
                <w:rFonts w:ascii="宋体" w:hAnsi="宋体"/>
                <w:kern w:val="0"/>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kern w:val="0"/>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权利义务</w:t>
            </w:r>
          </w:p>
        </w:tc>
        <w:tc>
          <w:tcPr>
            <w:tcW w:w="4678" w:type="dxa"/>
            <w:gridSpan w:val="2"/>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kern w:val="0"/>
              </w:rPr>
            </w:pPr>
            <w:r>
              <w:rPr>
                <w:rFonts w:hint="eastAsia" w:ascii="宋体" w:hAnsi="宋体"/>
                <w:kern w:val="0"/>
              </w:rPr>
              <w:t>符合第四章“合同条款及格式”规定，投标文件不应附有招标人不能接受的条件。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743" w:type="dxa"/>
            <w:vMerge w:val="continue"/>
            <w:tcBorders>
              <w:left w:val="single" w:color="auto" w:sz="4" w:space="0"/>
              <w:right w:val="single" w:color="auto" w:sz="4" w:space="0"/>
            </w:tcBorders>
            <w:vAlign w:val="center"/>
          </w:tcPr>
          <w:p>
            <w:pPr>
              <w:widowControl/>
              <w:jc w:val="left"/>
              <w:rPr>
                <w:rFonts w:ascii="宋体" w:hAnsi="宋体"/>
              </w:rPr>
            </w:pPr>
          </w:p>
        </w:tc>
        <w:tc>
          <w:tcPr>
            <w:tcW w:w="1633" w:type="dxa"/>
            <w:gridSpan w:val="2"/>
            <w:vMerge w:val="continue"/>
            <w:tcBorders>
              <w:left w:val="single" w:color="auto" w:sz="4" w:space="0"/>
              <w:right w:val="single" w:color="auto" w:sz="4" w:space="0"/>
            </w:tcBorders>
            <w:vAlign w:val="center"/>
          </w:tcPr>
          <w:p>
            <w:pPr>
              <w:widowControl/>
              <w:jc w:val="left"/>
              <w:rPr>
                <w:rFonts w:ascii="宋体" w:hAnsi="宋体"/>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技术标准和要求</w: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国家规范、规程和强制性标准。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4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163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实质性要求</w:t>
            </w:r>
          </w:p>
        </w:tc>
        <w:tc>
          <w:tcPr>
            <w:tcW w:w="4678" w:type="dxa"/>
            <w:gridSpan w:val="2"/>
            <w:tcBorders>
              <w:top w:val="single" w:color="auto" w:sz="4" w:space="0"/>
              <w:left w:val="single" w:color="auto" w:sz="4" w:space="0"/>
              <w:bottom w:val="single" w:color="auto" w:sz="4" w:space="0"/>
              <w:right w:val="single" w:color="auto" w:sz="4" w:space="0"/>
            </w:tcBorders>
          </w:tcPr>
          <w:p>
            <w:pPr>
              <w:ind w:firstLine="315" w:firstLineChars="150"/>
              <w:rPr>
                <w:rFonts w:ascii="宋体" w:hAnsi="宋体"/>
                <w:kern w:val="0"/>
              </w:rPr>
            </w:pPr>
            <w:r>
              <w:rPr>
                <w:rFonts w:hint="eastAsia" w:ascii="宋体" w:hAnsi="宋体"/>
                <w:kern w:val="0"/>
              </w:rPr>
              <w:t>符合招标文件中规定的其他实质性要求。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宋体" w:hAnsi="宋体"/>
                <w:kern w:val="0"/>
              </w:rPr>
            </w:pPr>
            <w:r>
              <w:rPr>
                <w:rFonts w:ascii="宋体" w:hAnsi="宋体"/>
                <w:kern w:val="0"/>
              </w:rPr>
              <w:t>2.2.1</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tabs>
                <w:tab w:val="left" w:pos="1875"/>
              </w:tabs>
              <w:jc w:val="center"/>
              <w:rPr>
                <w:rFonts w:ascii="宋体" w:hAnsi="宋体"/>
                <w:kern w:val="0"/>
              </w:rPr>
            </w:pPr>
            <w:r>
              <w:rPr>
                <w:rFonts w:hint="eastAsia" w:ascii="宋体" w:hAnsi="宋体"/>
                <w:kern w:val="0"/>
              </w:rPr>
              <w:t>分值构成</w:t>
            </w:r>
            <w:r>
              <w:rPr>
                <w:rFonts w:ascii="宋体" w:hAnsi="宋体"/>
                <w:kern w:val="0"/>
              </w:rPr>
              <w:t xml:space="preserve"> (总分100分)</w:t>
            </w:r>
          </w:p>
        </w:tc>
        <w:tc>
          <w:tcPr>
            <w:tcW w:w="4678" w:type="dxa"/>
            <w:gridSpan w:val="2"/>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kern w:val="0"/>
              </w:rPr>
            </w:pPr>
            <w:r>
              <w:rPr>
                <w:rFonts w:ascii="宋体" w:hAnsi="宋体"/>
                <w:kern w:val="0"/>
              </w:rPr>
              <w:t>1.</w:t>
            </w:r>
            <w:r>
              <w:rPr>
                <w:rFonts w:hint="eastAsia" w:ascii="宋体" w:hAnsi="宋体"/>
                <w:kern w:val="0"/>
              </w:rPr>
              <w:t>投标报价：2</w:t>
            </w:r>
            <w:r>
              <w:rPr>
                <w:rFonts w:ascii="宋体" w:hAnsi="宋体"/>
                <w:kern w:val="0"/>
              </w:rPr>
              <w:t>0</w:t>
            </w:r>
            <w:r>
              <w:rPr>
                <w:rFonts w:hint="eastAsia" w:ascii="宋体" w:hAnsi="宋体"/>
                <w:kern w:val="0"/>
              </w:rPr>
              <w:t>分；</w:t>
            </w:r>
          </w:p>
          <w:p>
            <w:pPr>
              <w:ind w:firstLine="420" w:firstLineChars="200"/>
              <w:rPr>
                <w:rFonts w:ascii="宋体" w:hAnsi="宋体"/>
                <w:kern w:val="0"/>
              </w:rPr>
            </w:pPr>
            <w:r>
              <w:rPr>
                <w:rFonts w:ascii="宋体" w:hAnsi="宋体"/>
                <w:kern w:val="0"/>
              </w:rPr>
              <w:t>2.商务部分：</w:t>
            </w:r>
            <w:r>
              <w:rPr>
                <w:rFonts w:hint="eastAsia" w:ascii="宋体" w:hAnsi="宋体"/>
                <w:kern w:val="0"/>
              </w:rPr>
              <w:t>8</w:t>
            </w:r>
            <w:r>
              <w:rPr>
                <w:rFonts w:ascii="宋体" w:hAnsi="宋体"/>
                <w:kern w:val="0"/>
              </w:rPr>
              <w:t>0</w:t>
            </w:r>
            <w:r>
              <w:rPr>
                <w:rFonts w:hint="eastAsia" w:ascii="宋体" w:hAnsi="宋体"/>
                <w:kern w:val="0"/>
              </w:rPr>
              <w:t>分（资质及经营实力40分</w:t>
            </w:r>
            <w:r>
              <w:rPr>
                <w:rFonts w:ascii="宋体" w:hAnsi="宋体"/>
                <w:kern w:val="0"/>
              </w:rPr>
              <w:t>，</w:t>
            </w:r>
            <w:r>
              <w:rPr>
                <w:rFonts w:hint="eastAsia" w:ascii="宋体" w:hAnsi="宋体"/>
                <w:kern w:val="0"/>
              </w:rPr>
              <w:t>服务能力及水平4</w:t>
            </w:r>
            <w:r>
              <w:rPr>
                <w:rFonts w:ascii="宋体" w:hAnsi="宋体"/>
                <w:kern w:val="0"/>
              </w:rPr>
              <w:t>0</w:t>
            </w:r>
            <w:r>
              <w:rPr>
                <w:rFonts w:hint="eastAsia" w:ascii="宋体" w:hAnsi="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tcBorders>
              <w:left w:val="single" w:color="auto" w:sz="4" w:space="0"/>
              <w:right w:val="single" w:color="auto" w:sz="4" w:space="0"/>
            </w:tcBorders>
            <w:vAlign w:val="center"/>
          </w:tcPr>
          <w:p>
            <w:pPr>
              <w:ind w:left="105" w:hanging="105" w:hangingChars="50"/>
              <w:jc w:val="center"/>
              <w:rPr>
                <w:rFonts w:ascii="宋体" w:hAnsi="宋体"/>
                <w:kern w:val="0"/>
                <w:szCs w:val="21"/>
              </w:rPr>
            </w:pPr>
            <w:r>
              <w:rPr>
                <w:rFonts w:ascii="宋体" w:hAnsi="宋体"/>
                <w:kern w:val="0"/>
                <w:szCs w:val="21"/>
              </w:rPr>
              <w:t>2.2.4 (1)</w:t>
            </w:r>
          </w:p>
        </w:tc>
        <w:tc>
          <w:tcPr>
            <w:tcW w:w="1134" w:type="dxa"/>
            <w:tcBorders>
              <w:left w:val="single" w:color="auto" w:sz="4" w:space="0"/>
              <w:right w:val="single" w:color="auto" w:sz="4" w:space="0"/>
            </w:tcBorders>
            <w:vAlign w:val="center"/>
          </w:tcPr>
          <w:p>
            <w:pPr>
              <w:jc w:val="center"/>
              <w:rPr>
                <w:rFonts w:ascii="宋体" w:hAnsi="宋体"/>
                <w:kern w:val="0"/>
              </w:rPr>
            </w:pPr>
            <w:r>
              <w:rPr>
                <w:rFonts w:hint="eastAsia" w:ascii="宋体" w:hAnsi="宋体"/>
                <w:kern w:val="0"/>
              </w:rPr>
              <w:t>投标报价评分标准（A）</w:t>
            </w:r>
          </w:p>
        </w:tc>
        <w:tc>
          <w:tcPr>
            <w:tcW w:w="1134"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投标报价</w:t>
            </w:r>
          </w:p>
          <w:p>
            <w:pPr>
              <w:pStyle w:val="2"/>
              <w:adjustRightInd/>
              <w:spacing w:line="240" w:lineRule="auto"/>
              <w:ind w:left="630" w:hanging="630"/>
              <w:jc w:val="center"/>
              <w:rPr>
                <w:rFonts w:ascii="宋体" w:hAnsi="宋体" w:eastAsia="宋体"/>
                <w:sz w:val="21"/>
              </w:rPr>
            </w:pPr>
            <w:r>
              <w:rPr>
                <w:rFonts w:hint="eastAsia" w:ascii="宋体" w:hAnsi="宋体" w:eastAsia="宋体"/>
                <w:sz w:val="21"/>
              </w:rPr>
              <w:t>（20分）</w:t>
            </w:r>
          </w:p>
        </w:tc>
        <w:tc>
          <w:tcPr>
            <w:tcW w:w="439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所有通过资格审查和符合性审查的投标人去掉六分之一（不能整除的按小数点前整数取整，不足六家报价则不去掉）的最低价和相同家数的最高价后的算术平均值作为评标基准价。</w:t>
            </w:r>
          </w:p>
          <w:p>
            <w:pPr>
              <w:ind w:firstLine="420" w:firstLineChars="200"/>
              <w:rPr>
                <w:rFonts w:ascii="宋体" w:hAnsi="宋体"/>
                <w:szCs w:val="21"/>
              </w:rPr>
            </w:pPr>
            <w:r>
              <w:rPr>
                <w:rFonts w:hint="eastAsia" w:ascii="宋体" w:hAnsi="宋体"/>
                <w:szCs w:val="21"/>
              </w:rPr>
              <w:t>以上计算取小数点后两位，第三位四舍五入。</w:t>
            </w:r>
          </w:p>
          <w:p>
            <w:pPr>
              <w:ind w:firstLine="420" w:firstLineChars="200"/>
              <w:rPr>
                <w:rFonts w:ascii="宋体" w:hAnsi="宋体"/>
                <w:szCs w:val="21"/>
              </w:rPr>
            </w:pPr>
            <w:r>
              <w:rPr>
                <w:rFonts w:hint="eastAsia" w:ascii="宋体" w:hAnsi="宋体"/>
                <w:szCs w:val="21"/>
              </w:rPr>
              <w:t>所有合格投标人得20分，在此基础上，投标折扣率与评标基准价相减，每高于基准价1％扣 0.5分，每低于基准价1％扣 0.5分, 最多扣2分。</w:t>
            </w:r>
          </w:p>
          <w:p>
            <w:pPr>
              <w:ind w:firstLine="420" w:firstLineChars="200"/>
              <w:rPr>
                <w:rFonts w:ascii="宋体" w:hAnsi="宋体"/>
                <w:szCs w:val="21"/>
              </w:rPr>
            </w:pPr>
            <w:r>
              <w:rPr>
                <w:rFonts w:hint="eastAsia" w:ascii="宋体" w:hAnsi="宋体"/>
                <w:szCs w:val="21"/>
              </w:rPr>
              <w:t>例：评标基准价为92%，投标折扣率为98%，则得分为：20-（98%-92%）*100*0.5=17，最多扣2分，最终得分18分。</w:t>
            </w:r>
          </w:p>
        </w:tc>
        <w:tc>
          <w:tcPr>
            <w:tcW w:w="1559" w:type="dxa"/>
            <w:tcBorders>
              <w:top w:val="single" w:color="auto" w:sz="4" w:space="0"/>
              <w:left w:val="single" w:color="auto" w:sz="4" w:space="0"/>
              <w:right w:val="single" w:color="auto" w:sz="4" w:space="0"/>
            </w:tcBorders>
            <w:vAlign w:val="center"/>
          </w:tcPr>
          <w:p>
            <w:pPr>
              <w:rPr>
                <w:rFonts w:ascii="宋体" w:hAnsi="宋体"/>
                <w:kern w:val="0"/>
                <w:szCs w:val="21"/>
              </w:rPr>
            </w:pPr>
            <w:r>
              <w:rPr>
                <w:rFonts w:hint="eastAsia" w:ascii="宋体" w:hAnsi="宋体"/>
                <w:szCs w:val="21"/>
              </w:rPr>
              <w:t>所有教材价格按同一报价折扣计算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vMerge w:val="restart"/>
            <w:tcBorders>
              <w:left w:val="single" w:color="auto" w:sz="4" w:space="0"/>
              <w:right w:val="single" w:color="auto" w:sz="4" w:space="0"/>
            </w:tcBorders>
            <w:vAlign w:val="center"/>
          </w:tcPr>
          <w:p>
            <w:pPr>
              <w:ind w:left="105" w:hanging="105" w:hangingChars="50"/>
              <w:jc w:val="center"/>
              <w:rPr>
                <w:rFonts w:ascii="宋体" w:hAnsi="宋体"/>
                <w:kern w:val="0"/>
                <w:szCs w:val="21"/>
              </w:rPr>
            </w:pPr>
            <w:r>
              <w:rPr>
                <w:rFonts w:hint="eastAsia" w:ascii="宋体" w:hAnsi="宋体"/>
                <w:kern w:val="0"/>
                <w:szCs w:val="21"/>
              </w:rPr>
              <w:t>2.2.4（2）</w:t>
            </w:r>
          </w:p>
        </w:tc>
        <w:tc>
          <w:tcPr>
            <w:tcW w:w="1134" w:type="dxa"/>
            <w:vMerge w:val="restart"/>
            <w:tcBorders>
              <w:left w:val="single" w:color="auto" w:sz="4" w:space="0"/>
              <w:right w:val="single" w:color="auto" w:sz="4" w:space="0"/>
            </w:tcBorders>
            <w:vAlign w:val="center"/>
          </w:tcPr>
          <w:p>
            <w:pPr>
              <w:jc w:val="center"/>
              <w:rPr>
                <w:rFonts w:ascii="宋体" w:hAnsi="宋体"/>
                <w:kern w:val="0"/>
              </w:rPr>
            </w:pPr>
            <w:r>
              <w:rPr>
                <w:rFonts w:hint="eastAsia" w:ascii="宋体" w:hAnsi="宋体"/>
                <w:kern w:val="0"/>
              </w:rPr>
              <w:t>商务</w:t>
            </w:r>
            <w:r>
              <w:rPr>
                <w:rFonts w:ascii="宋体" w:hAnsi="宋体"/>
                <w:kern w:val="0"/>
              </w:rPr>
              <w:t>评分标准</w:t>
            </w:r>
          </w:p>
          <w:p>
            <w:pPr>
              <w:jc w:val="center"/>
              <w:rPr>
                <w:rFonts w:ascii="宋体" w:hAnsi="宋体"/>
                <w:kern w:val="0"/>
              </w:rPr>
            </w:pPr>
            <w:r>
              <w:rPr>
                <w:rFonts w:ascii="宋体" w:hAnsi="宋体"/>
                <w:kern w:val="0"/>
              </w:rPr>
              <w:t>（</w:t>
            </w:r>
            <w:r>
              <w:rPr>
                <w:rFonts w:hint="eastAsia" w:ascii="宋体" w:hAnsi="宋体"/>
                <w:kern w:val="0"/>
              </w:rPr>
              <w:t>B）</w:t>
            </w:r>
          </w:p>
        </w:tc>
        <w:tc>
          <w:tcPr>
            <w:tcW w:w="1134"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ascii="宋体" w:hAnsi="宋体"/>
                <w:szCs w:val="21"/>
              </w:rPr>
            </w:pPr>
            <w:r>
              <w:rPr>
                <w:rFonts w:hint="eastAsia" w:ascii="宋体" w:hAnsi="宋体"/>
                <w:szCs w:val="21"/>
              </w:rPr>
              <w:t>资质及</w:t>
            </w:r>
          </w:p>
          <w:p>
            <w:pPr>
              <w:spacing w:line="360" w:lineRule="auto"/>
              <w:ind w:firstLine="28"/>
              <w:jc w:val="center"/>
              <w:rPr>
                <w:rFonts w:ascii="宋体" w:hAnsi="宋体"/>
                <w:szCs w:val="21"/>
              </w:rPr>
            </w:pPr>
            <w:r>
              <w:rPr>
                <w:rFonts w:hint="eastAsia" w:ascii="宋体" w:hAnsi="宋体"/>
                <w:szCs w:val="21"/>
              </w:rPr>
              <w:t>经营实力</w:t>
            </w:r>
          </w:p>
          <w:p>
            <w:pPr>
              <w:jc w:val="center"/>
              <w:rPr>
                <w:rFonts w:ascii="宋体" w:hAnsi="宋体"/>
              </w:rPr>
            </w:pPr>
            <w:r>
              <w:rPr>
                <w:rFonts w:hint="eastAsia" w:ascii="宋体" w:hAnsi="宋体"/>
              </w:rPr>
              <w:t>（4</w:t>
            </w:r>
            <w:r>
              <w:rPr>
                <w:rFonts w:ascii="宋体" w:hAnsi="宋体"/>
              </w:rPr>
              <w:t>0</w:t>
            </w:r>
            <w:r>
              <w:rPr>
                <w:rFonts w:hint="eastAsia" w:ascii="宋体" w:hAnsi="宋体"/>
              </w:rPr>
              <w:t>分</w:t>
            </w:r>
            <w:r>
              <w:rPr>
                <w:rFonts w:ascii="宋体" w:hAnsi="宋体"/>
              </w:rPr>
              <w:t>）</w:t>
            </w: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2分</w:t>
            </w:r>
          </w:p>
        </w:tc>
        <w:tc>
          <w:tcPr>
            <w:tcW w:w="3686" w:type="dxa"/>
            <w:gridSpan w:val="2"/>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售后服务机构办公场地及物流仓储库房面积（2分）:</w:t>
            </w:r>
          </w:p>
          <w:p>
            <w:pPr>
              <w:ind w:firstLine="420" w:firstLineChars="200"/>
              <w:rPr>
                <w:rFonts w:ascii="宋体" w:hAnsi="宋体"/>
                <w:szCs w:val="21"/>
              </w:rPr>
            </w:pPr>
            <w:r>
              <w:rPr>
                <w:rFonts w:hint="eastAsia" w:ascii="宋体" w:hAnsi="宋体"/>
                <w:szCs w:val="21"/>
              </w:rPr>
              <w:t>办公场地面积达到100平方米及以上办公用地得1分，100平方米以下不得分；</w:t>
            </w:r>
          </w:p>
          <w:p>
            <w:pPr>
              <w:ind w:firstLine="420" w:firstLineChars="200"/>
              <w:rPr>
                <w:rFonts w:ascii="宋体" w:hAnsi="宋体"/>
                <w:szCs w:val="21"/>
              </w:rPr>
            </w:pPr>
            <w:r>
              <w:rPr>
                <w:rFonts w:hint="eastAsia" w:ascii="宋体" w:hAnsi="宋体"/>
                <w:szCs w:val="21"/>
              </w:rPr>
              <w:t>物流仓储库房面积500平米及以上得1分，500平米以下（不含）不得分。</w:t>
            </w:r>
          </w:p>
        </w:tc>
        <w:tc>
          <w:tcPr>
            <w:tcW w:w="1559" w:type="dxa"/>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提供</w:t>
            </w:r>
            <w:r>
              <w:rPr>
                <w:rFonts w:ascii="宋体" w:hAnsi="宋体"/>
                <w:szCs w:val="21"/>
              </w:rPr>
              <w:t>场地相关</w:t>
            </w:r>
            <w:r>
              <w:rPr>
                <w:rFonts w:hint="eastAsia" w:ascii="宋体" w:hAnsi="宋体"/>
                <w:szCs w:val="21"/>
              </w:rPr>
              <w:t>证明</w:t>
            </w:r>
            <w:r>
              <w:rPr>
                <w:rFonts w:ascii="宋体" w:hAnsi="宋体"/>
                <w:szCs w:val="21"/>
              </w:rPr>
              <w:t>或租赁合同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top w:val="single" w:color="auto" w:sz="4" w:space="0"/>
              <w:left w:val="single" w:color="auto" w:sz="4" w:space="0"/>
              <w:right w:val="single" w:color="auto" w:sz="4" w:space="0"/>
            </w:tcBorders>
            <w:vAlign w:val="center"/>
          </w:tcPr>
          <w:p>
            <w:pPr>
              <w:spacing w:line="360" w:lineRule="auto"/>
              <w:ind w:firstLine="28"/>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10分</w:t>
            </w:r>
          </w:p>
        </w:tc>
        <w:tc>
          <w:tcPr>
            <w:tcW w:w="3686" w:type="dxa"/>
            <w:gridSpan w:val="2"/>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提供有效期内出版社代理证明材料，5个以内不得分；5-10个得5分,11-15个得8分；15个以上得10分。</w:t>
            </w:r>
          </w:p>
        </w:tc>
        <w:tc>
          <w:tcPr>
            <w:tcW w:w="1559" w:type="dxa"/>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提供授权书复印件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top w:val="single" w:color="auto" w:sz="4" w:space="0"/>
              <w:left w:val="single" w:color="auto" w:sz="4" w:space="0"/>
              <w:right w:val="single" w:color="auto" w:sz="4" w:space="0"/>
            </w:tcBorders>
            <w:vAlign w:val="center"/>
          </w:tcPr>
          <w:p>
            <w:pPr>
              <w:spacing w:line="360" w:lineRule="auto"/>
              <w:ind w:firstLine="28"/>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8分</w:t>
            </w:r>
          </w:p>
        </w:tc>
        <w:tc>
          <w:tcPr>
            <w:tcW w:w="3686" w:type="dxa"/>
            <w:gridSpan w:val="2"/>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投标企业获得过质量管理体系认证、职业健康管理体系认证、环境管理体系认证、“资信等级企业”、“信用等级企业”、“重合同守信用企业”、“重质量守信用企业”、“质量服务诚信单位”，每提供一个得1分，全部提供的得8分。</w:t>
            </w:r>
          </w:p>
        </w:tc>
        <w:tc>
          <w:tcPr>
            <w:tcW w:w="1559" w:type="dxa"/>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left w:val="single" w:color="auto" w:sz="4" w:space="0"/>
              <w:right w:val="single" w:color="auto" w:sz="4" w:space="0"/>
            </w:tcBorders>
            <w:vAlign w:val="center"/>
          </w:tcPr>
          <w:p>
            <w:pPr>
              <w:spacing w:line="360" w:lineRule="auto"/>
              <w:ind w:firstLine="28"/>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20分</w:t>
            </w:r>
          </w:p>
        </w:tc>
        <w:tc>
          <w:tcPr>
            <w:tcW w:w="3686" w:type="dxa"/>
            <w:gridSpan w:val="2"/>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投标人需提供同类项目业绩的中标通知书复印件、合同复印件，其中有国家级中职示范学校的每提供一个得2分，提供其它学校得1分，本项最多得20分。</w:t>
            </w:r>
          </w:p>
        </w:tc>
        <w:tc>
          <w:tcPr>
            <w:tcW w:w="1559" w:type="dxa"/>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需提供相关国家中职示范学校的证明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42" w:type="dxa"/>
            <w:gridSpan w:val="2"/>
            <w:vMerge w:val="restart"/>
            <w:tcBorders>
              <w:left w:val="single" w:color="auto" w:sz="4" w:space="0"/>
              <w:right w:val="single" w:color="auto" w:sz="4" w:space="0"/>
            </w:tcBorders>
            <w:vAlign w:val="center"/>
          </w:tcPr>
          <w:p>
            <w:pPr>
              <w:ind w:left="105" w:hanging="105" w:hangingChars="50"/>
              <w:jc w:val="center"/>
              <w:rPr>
                <w:rFonts w:ascii="宋体" w:hAnsi="宋体"/>
                <w:kern w:val="0"/>
                <w:szCs w:val="21"/>
              </w:rPr>
            </w:pPr>
            <w:r>
              <w:rPr>
                <w:rFonts w:hint="eastAsia" w:ascii="宋体" w:hAnsi="宋体"/>
                <w:kern w:val="0"/>
                <w:szCs w:val="21"/>
              </w:rPr>
              <w:t>2.2.4（2）</w:t>
            </w:r>
          </w:p>
        </w:tc>
        <w:tc>
          <w:tcPr>
            <w:tcW w:w="1134" w:type="dxa"/>
            <w:vMerge w:val="restart"/>
            <w:tcBorders>
              <w:left w:val="single" w:color="auto" w:sz="4" w:space="0"/>
              <w:right w:val="single" w:color="auto" w:sz="4" w:space="0"/>
            </w:tcBorders>
            <w:vAlign w:val="center"/>
          </w:tcPr>
          <w:p>
            <w:pPr>
              <w:jc w:val="center"/>
              <w:rPr>
                <w:rFonts w:ascii="宋体" w:hAnsi="宋体"/>
                <w:kern w:val="0"/>
              </w:rPr>
            </w:pPr>
            <w:r>
              <w:rPr>
                <w:rFonts w:hint="eastAsia" w:ascii="宋体" w:hAnsi="宋体"/>
                <w:kern w:val="0"/>
              </w:rPr>
              <w:t>商务</w:t>
            </w:r>
            <w:r>
              <w:rPr>
                <w:rFonts w:ascii="宋体" w:hAnsi="宋体"/>
                <w:kern w:val="0"/>
              </w:rPr>
              <w:t>评分标准</w:t>
            </w:r>
          </w:p>
          <w:p>
            <w:pPr>
              <w:jc w:val="center"/>
              <w:rPr>
                <w:rFonts w:ascii="宋体" w:hAnsi="宋体"/>
                <w:kern w:val="0"/>
              </w:rPr>
            </w:pPr>
            <w:r>
              <w:rPr>
                <w:rFonts w:ascii="宋体" w:hAnsi="宋体"/>
                <w:kern w:val="0"/>
              </w:rPr>
              <w:t>（</w:t>
            </w:r>
            <w:r>
              <w:rPr>
                <w:rFonts w:hint="eastAsia" w:ascii="宋体" w:hAnsi="宋体"/>
                <w:kern w:val="0"/>
              </w:rPr>
              <w:t>B）</w:t>
            </w:r>
          </w:p>
        </w:tc>
        <w:tc>
          <w:tcPr>
            <w:tcW w:w="1134" w:type="dxa"/>
            <w:vMerge w:val="restart"/>
            <w:tcBorders>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服务能力及水平</w:t>
            </w:r>
          </w:p>
          <w:p>
            <w:pPr>
              <w:spacing w:line="360" w:lineRule="auto"/>
              <w:ind w:firstLine="28"/>
              <w:jc w:val="center"/>
              <w:rPr>
                <w:rFonts w:ascii="宋体" w:hAnsi="宋体"/>
                <w:szCs w:val="21"/>
              </w:rPr>
            </w:pPr>
            <w:r>
              <w:rPr>
                <w:rFonts w:hint="eastAsia" w:ascii="宋体" w:hAnsi="宋体"/>
                <w:szCs w:val="21"/>
              </w:rPr>
              <w:t>（40</w:t>
            </w:r>
            <w:r>
              <w:rPr>
                <w:rFonts w:ascii="宋体" w:hAnsi="宋体"/>
                <w:szCs w:val="21"/>
              </w:rPr>
              <w:t>分）</w:t>
            </w: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1分</w:t>
            </w:r>
          </w:p>
        </w:tc>
        <w:tc>
          <w:tcPr>
            <w:tcW w:w="524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承诺在1天时间以内完成对不少于3000学生逐班发放教材的能力，准确率100％，得</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2分</w:t>
            </w:r>
          </w:p>
        </w:tc>
        <w:tc>
          <w:tcPr>
            <w:tcW w:w="524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投标人承诺能按招标人的订购书目提供未经使用的正版教材。所有教材均应符合国家相关质量标准，是正规出版社的正规教材，不得提供盗版、盗印教材，教材不得有错页、缺页、漏页、倒装、污损、受潮、错误；全部退货保证学校零库存得</w:t>
            </w:r>
            <w:r>
              <w:rPr>
                <w:rFonts w:ascii="宋体" w:hAnsi="宋体"/>
                <w:szCs w:val="21"/>
              </w:rPr>
              <w:t>2</w:t>
            </w:r>
            <w:r>
              <w:rPr>
                <w:rFonts w:hint="eastAsia" w:ascii="宋体" w:hAnsi="宋体"/>
                <w:szCs w:val="21"/>
              </w:rPr>
              <w:t>分，未承诺或未提供得0分。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5分</w:t>
            </w:r>
          </w:p>
        </w:tc>
        <w:tc>
          <w:tcPr>
            <w:tcW w:w="524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具有功能完善的教材预定、管理、结算系统具备教材预定、统计、反馈、支付、结算等功能，确保顺利完成每季度的教材征订工作的能力。得0-5分。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10分</w:t>
            </w:r>
          </w:p>
        </w:tc>
        <w:tc>
          <w:tcPr>
            <w:tcW w:w="524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教材供货计划及组织流程服务方案（根据售后人员、售后机构、响应时间、更换时间、具体措施、服务学校教学等方面）进行综合评定，要求满足学校教材订购需求，保证订购教材（开学前三日）100％到书率。方案优秀，提高学校相关管理水平，得6-10分；方案完善，配合和利于学校管理，得3-5分；方案一般，存在一定缺陷，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2分</w:t>
            </w:r>
          </w:p>
        </w:tc>
        <w:tc>
          <w:tcPr>
            <w:tcW w:w="524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服务人员:在学校行课期间在校内教材销售服务点安排不少于</w:t>
            </w:r>
            <w:r>
              <w:rPr>
                <w:rFonts w:ascii="宋体" w:hAnsi="宋体"/>
                <w:szCs w:val="21"/>
              </w:rPr>
              <w:t>2</w:t>
            </w:r>
            <w:r>
              <w:rPr>
                <w:rFonts w:hint="eastAsia" w:ascii="宋体" w:hAnsi="宋体"/>
                <w:szCs w:val="21"/>
              </w:rPr>
              <w:t>名的专职人员（须是公司正式员工，其中库管和销售各1名）为全校师生提供教材零售服务和日常管理工作，得2分；安排1人，得1分；未安排，得0分。提供人员名单及2021年</w:t>
            </w:r>
            <w:r>
              <w:rPr>
                <w:rFonts w:ascii="宋体" w:hAnsi="宋体"/>
                <w:szCs w:val="21"/>
              </w:rPr>
              <w:t>9</w:t>
            </w:r>
            <w:r>
              <w:rPr>
                <w:rFonts w:hint="eastAsia" w:ascii="宋体" w:hAnsi="宋体"/>
                <w:szCs w:val="21"/>
              </w:rPr>
              <w:t>-</w:t>
            </w:r>
            <w:r>
              <w:rPr>
                <w:rFonts w:ascii="宋体" w:hAnsi="宋体"/>
                <w:szCs w:val="21"/>
              </w:rPr>
              <w:t>11</w:t>
            </w:r>
            <w:r>
              <w:rPr>
                <w:rFonts w:hint="eastAsia" w:ascii="宋体" w:hAnsi="宋体"/>
                <w:szCs w:val="21"/>
              </w:rPr>
              <w:t>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2" w:type="dxa"/>
            <w:gridSpan w:val="2"/>
            <w:vMerge w:val="continue"/>
            <w:tcBorders>
              <w:left w:val="single" w:color="auto" w:sz="4" w:space="0"/>
              <w:right w:val="single" w:color="auto" w:sz="4" w:space="0"/>
            </w:tcBorders>
            <w:vAlign w:val="center"/>
          </w:tcPr>
          <w:p>
            <w:pPr>
              <w:ind w:left="105" w:hanging="105" w:hangingChars="50"/>
              <w:jc w:val="center"/>
              <w:rPr>
                <w:rFonts w:ascii="宋体" w:hAnsi="宋体"/>
                <w:kern w:val="0"/>
                <w:szCs w:val="21"/>
              </w:rPr>
            </w:pPr>
          </w:p>
        </w:tc>
        <w:tc>
          <w:tcPr>
            <w:tcW w:w="1134" w:type="dxa"/>
            <w:vMerge w:val="continue"/>
            <w:tcBorders>
              <w:left w:val="single" w:color="auto" w:sz="4" w:space="0"/>
              <w:right w:val="single" w:color="auto" w:sz="4" w:space="0"/>
            </w:tcBorders>
            <w:vAlign w:val="center"/>
          </w:tcPr>
          <w:p>
            <w:pPr>
              <w:jc w:val="center"/>
              <w:rPr>
                <w:rFonts w:ascii="宋体" w:hAnsi="宋体"/>
                <w:kern w:val="0"/>
              </w:rPr>
            </w:pPr>
          </w:p>
        </w:tc>
        <w:tc>
          <w:tcPr>
            <w:tcW w:w="1134"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20分</w:t>
            </w:r>
          </w:p>
        </w:tc>
        <w:tc>
          <w:tcPr>
            <w:tcW w:w="5245" w:type="dxa"/>
            <w:gridSpan w:val="3"/>
            <w:tcBorders>
              <w:top w:val="single" w:color="auto" w:sz="4" w:space="0"/>
              <w:left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提供增值教育咨询服务承诺和方案（包含但不限于专业师资培训、技能大赛指导服务、教材开发/出版服务、精品课程建设、教育科研、校企合作、社会培训等，附方案计划以及相关佐证材料）。方案优秀，能提高学校相关教育教学管理水平，得1</w:t>
            </w:r>
            <w:r>
              <w:rPr>
                <w:rFonts w:ascii="宋体" w:hAnsi="宋体"/>
                <w:szCs w:val="21"/>
              </w:rPr>
              <w:t>5</w:t>
            </w:r>
            <w:r>
              <w:rPr>
                <w:rFonts w:hint="eastAsia" w:ascii="宋体" w:hAnsi="宋体"/>
                <w:szCs w:val="21"/>
              </w:rPr>
              <w:t>-20分；方案完善，配合和利于学校管理，得</w:t>
            </w:r>
            <w:r>
              <w:rPr>
                <w:rFonts w:ascii="宋体" w:hAnsi="宋体"/>
                <w:szCs w:val="21"/>
              </w:rPr>
              <w:t>10</w:t>
            </w:r>
            <w:r>
              <w:rPr>
                <w:rFonts w:hint="eastAsia" w:ascii="宋体" w:hAnsi="宋体"/>
                <w:szCs w:val="21"/>
              </w:rPr>
              <w:t>-1</w:t>
            </w:r>
            <w:r>
              <w:rPr>
                <w:rFonts w:ascii="宋体" w:hAnsi="宋体"/>
                <w:szCs w:val="21"/>
              </w:rPr>
              <w:t>4</w:t>
            </w:r>
            <w:r>
              <w:rPr>
                <w:rFonts w:hint="eastAsia" w:ascii="宋体" w:hAnsi="宋体"/>
                <w:szCs w:val="21"/>
              </w:rPr>
              <w:t>分；方案一般，存在一定缺陷，得</w:t>
            </w:r>
            <w:r>
              <w:rPr>
                <w:rFonts w:ascii="宋体" w:hAnsi="宋体"/>
                <w:szCs w:val="21"/>
              </w:rPr>
              <w:t>5</w:t>
            </w:r>
            <w:r>
              <w:rPr>
                <w:rFonts w:hint="eastAsia" w:ascii="宋体" w:hAnsi="宋体"/>
                <w:szCs w:val="21"/>
              </w:rPr>
              <w:t>-</w:t>
            </w:r>
            <w:r>
              <w:rPr>
                <w:rFonts w:ascii="宋体" w:hAnsi="宋体"/>
                <w:szCs w:val="21"/>
              </w:rPr>
              <w:t>9</w:t>
            </w:r>
            <w:r>
              <w:rPr>
                <w:rFonts w:hint="eastAsia" w:ascii="宋体" w:hAnsi="宋体"/>
                <w:szCs w:val="21"/>
              </w:rPr>
              <w:t>分。方案差，缺陷明显，得</w:t>
            </w:r>
            <w:r>
              <w:rPr>
                <w:rFonts w:ascii="宋体" w:hAnsi="宋体"/>
                <w:szCs w:val="21"/>
              </w:rPr>
              <w:t>1</w:t>
            </w:r>
            <w:r>
              <w:rPr>
                <w:rFonts w:hint="eastAsia" w:ascii="宋体" w:hAnsi="宋体"/>
                <w:szCs w:val="21"/>
              </w:rPr>
              <w:t>-</w:t>
            </w:r>
            <w:r>
              <w:rPr>
                <w:rFonts w:ascii="宋体" w:hAnsi="宋体"/>
                <w:szCs w:val="21"/>
              </w:rPr>
              <w:t>4</w:t>
            </w:r>
            <w:r>
              <w:rPr>
                <w:rFonts w:hint="eastAsia" w:ascii="宋体" w:hAnsi="宋体"/>
                <w:szCs w:val="21"/>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ascii="宋体" w:hAnsi="宋体"/>
              </w:rPr>
              <w:t>3</w:t>
            </w:r>
          </w:p>
        </w:tc>
        <w:tc>
          <w:tcPr>
            <w:tcW w:w="113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kern w:val="0"/>
              </w:rPr>
            </w:pPr>
            <w:r>
              <w:rPr>
                <w:rFonts w:hint="eastAsia" w:ascii="宋体" w:hAnsi="宋体"/>
              </w:rPr>
              <w:t>评标程序</w:t>
            </w:r>
          </w:p>
        </w:tc>
        <w:tc>
          <w:tcPr>
            <w:tcW w:w="7088" w:type="dxa"/>
            <w:gridSpan w:val="5"/>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szCs w:val="21"/>
              </w:rPr>
            </w:pPr>
            <w:r>
              <w:rPr>
                <w:rFonts w:ascii="宋体" w:hAnsi="宋体"/>
                <w:szCs w:val="21"/>
              </w:rPr>
              <w:t>1.</w:t>
            </w:r>
            <w:r>
              <w:rPr>
                <w:rFonts w:hint="eastAsia" w:ascii="宋体" w:hAnsi="宋体"/>
                <w:szCs w:val="21"/>
              </w:rPr>
              <w:t>按本章评标办法第</w:t>
            </w:r>
            <w:r>
              <w:rPr>
                <w:rFonts w:ascii="宋体" w:hAnsi="宋体"/>
                <w:szCs w:val="21"/>
              </w:rPr>
              <w:t>3.1</w:t>
            </w:r>
            <w:r>
              <w:rPr>
                <w:rFonts w:hint="eastAsia" w:ascii="宋体" w:hAnsi="宋体"/>
                <w:szCs w:val="21"/>
              </w:rPr>
              <w:t>款进行初步评审，再按照本章</w:t>
            </w:r>
            <w:r>
              <w:rPr>
                <w:rFonts w:ascii="宋体" w:hAnsi="宋体"/>
                <w:szCs w:val="21"/>
              </w:rPr>
              <w:t>2.2.2项计算方法计算评标基准价。</w:t>
            </w:r>
          </w:p>
          <w:p>
            <w:pPr>
              <w:ind w:firstLine="420" w:firstLineChars="200"/>
              <w:rPr>
                <w:rFonts w:ascii="宋体" w:hAnsi="宋体"/>
                <w:szCs w:val="21"/>
              </w:rPr>
            </w:pPr>
            <w:r>
              <w:rPr>
                <w:rFonts w:ascii="宋体" w:hAnsi="宋体"/>
                <w:szCs w:val="21"/>
              </w:rPr>
              <w:t>2.对通过第3.1款初步评审合格的投标人的投标总报价按本附表3.2.1（1）规定进行评分。</w:t>
            </w:r>
          </w:p>
          <w:p>
            <w:pPr>
              <w:ind w:firstLine="420" w:firstLineChars="200"/>
              <w:rPr>
                <w:rFonts w:ascii="宋体" w:hAnsi="宋体"/>
                <w:szCs w:val="21"/>
              </w:rPr>
            </w:pPr>
            <w:r>
              <w:rPr>
                <w:rFonts w:ascii="宋体" w:hAnsi="宋体"/>
                <w:szCs w:val="21"/>
              </w:rPr>
              <w:t>3.按本章评标办法第3.2款至3.4款规定的程序进行评审，并按本章第2.2.3</w:t>
            </w:r>
            <w:r>
              <w:rPr>
                <w:rFonts w:hint="eastAsia" w:ascii="宋体" w:hAnsi="宋体"/>
                <w:szCs w:val="21"/>
              </w:rPr>
              <w:t>款规定的评分标准，确定得分最高的前三名投标人（按得分高低排序）为中标候选人。</w:t>
            </w:r>
          </w:p>
          <w:p>
            <w:pPr>
              <w:ind w:firstLine="420" w:firstLineChars="200"/>
              <w:rPr>
                <w:rFonts w:ascii="宋体" w:hAnsi="宋体"/>
                <w:kern w:val="0"/>
              </w:rPr>
            </w:pPr>
            <w:r>
              <w:rPr>
                <w:rFonts w:ascii="宋体" w:hAnsi="宋体"/>
                <w:szCs w:val="21"/>
              </w:rPr>
              <w:t>4.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3.2.1（1）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kern w:val="0"/>
              </w:rPr>
              <w:t>投标报价评分标准（A）</w:t>
            </w:r>
          </w:p>
        </w:tc>
        <w:tc>
          <w:tcPr>
            <w:tcW w:w="7088"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所有通过资格审查和符合性审查的投标人去掉六分之一（不能整除的按小数点前整数取整，不足六家报价则不去掉）的最低价和相同家数的最高价后的算术平均值作为评标基准价。</w:t>
            </w:r>
          </w:p>
          <w:p>
            <w:pPr>
              <w:ind w:firstLine="420" w:firstLineChars="200"/>
              <w:rPr>
                <w:rFonts w:ascii="宋体" w:hAnsi="宋体"/>
                <w:szCs w:val="21"/>
              </w:rPr>
            </w:pPr>
            <w:r>
              <w:rPr>
                <w:rFonts w:hint="eastAsia" w:ascii="宋体" w:hAnsi="宋体"/>
                <w:szCs w:val="21"/>
              </w:rPr>
              <w:t>以上计算取小数点后两位，第三位四舍五入。</w:t>
            </w:r>
          </w:p>
          <w:p>
            <w:pPr>
              <w:ind w:firstLine="420" w:firstLineChars="200"/>
              <w:rPr>
                <w:rFonts w:ascii="宋体" w:hAnsi="宋体"/>
                <w:szCs w:val="21"/>
              </w:rPr>
            </w:pPr>
            <w:r>
              <w:rPr>
                <w:rFonts w:hint="eastAsia" w:ascii="宋体" w:hAnsi="宋体"/>
                <w:szCs w:val="21"/>
              </w:rPr>
              <w:t>所有合格投标人得</w:t>
            </w:r>
            <w:r>
              <w:rPr>
                <w:rFonts w:ascii="宋体" w:hAnsi="宋体"/>
                <w:szCs w:val="21"/>
              </w:rPr>
              <w:t>2</w:t>
            </w:r>
            <w:r>
              <w:rPr>
                <w:rFonts w:hint="eastAsia" w:ascii="宋体" w:hAnsi="宋体"/>
                <w:szCs w:val="21"/>
              </w:rPr>
              <w:t>0分，在此基础上，投标折扣率与评标基准价相减，每高于基准价1％扣 0.5分，每低于基准价1％扣 0.5分, 最多扣2分。</w:t>
            </w:r>
          </w:p>
          <w:p>
            <w:pPr>
              <w:ind w:firstLine="420" w:firstLineChars="200"/>
              <w:rPr>
                <w:rFonts w:ascii="宋体" w:hAnsi="宋体"/>
                <w:szCs w:val="21"/>
              </w:rPr>
            </w:pPr>
            <w:r>
              <w:rPr>
                <w:rFonts w:hint="eastAsia" w:ascii="宋体" w:hAnsi="宋体"/>
                <w:szCs w:val="21"/>
              </w:rPr>
              <w:t>例：平均基准价为92%，投标折扣率为98%，则得分为：</w:t>
            </w:r>
            <w:r>
              <w:rPr>
                <w:rFonts w:ascii="宋体" w:hAnsi="宋体"/>
                <w:szCs w:val="21"/>
              </w:rPr>
              <w:t>2</w:t>
            </w:r>
            <w:r>
              <w:rPr>
                <w:rFonts w:hint="eastAsia" w:ascii="宋体" w:hAnsi="宋体"/>
                <w:szCs w:val="21"/>
              </w:rPr>
              <w:t>0-（98%-92%）*100*0.5=</w:t>
            </w:r>
            <w:r>
              <w:rPr>
                <w:rFonts w:ascii="宋体" w:hAnsi="宋体"/>
                <w:szCs w:val="21"/>
              </w:rPr>
              <w:t>1</w:t>
            </w:r>
            <w:r>
              <w:rPr>
                <w:rFonts w:hint="eastAsia" w:ascii="宋体" w:hAnsi="宋体"/>
                <w:szCs w:val="21"/>
              </w:rPr>
              <w:t>7，最多扣2分，最终得分18分。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42" w:type="dxa"/>
            <w:gridSpan w:val="2"/>
            <w:tcBorders>
              <w:top w:val="single" w:color="auto" w:sz="4" w:space="0"/>
              <w:left w:val="single" w:color="auto" w:sz="4" w:space="0"/>
              <w:right w:val="single" w:color="auto" w:sz="4" w:space="0"/>
            </w:tcBorders>
            <w:vAlign w:val="center"/>
          </w:tcPr>
          <w:p>
            <w:pPr>
              <w:jc w:val="center"/>
              <w:rPr>
                <w:rFonts w:ascii="宋体" w:hAnsi="宋体"/>
              </w:rPr>
            </w:pPr>
            <w:r>
              <w:rPr>
                <w:rFonts w:ascii="宋体" w:hAnsi="宋体"/>
              </w:rPr>
              <w:t>3.2.1（2</w:t>
            </w:r>
            <w:r>
              <w:rPr>
                <w:rFonts w:hint="eastAsia" w:ascii="宋体" w:hAnsi="宋体"/>
              </w:rPr>
              <w:t>）</w:t>
            </w:r>
          </w:p>
        </w:tc>
        <w:tc>
          <w:tcPr>
            <w:tcW w:w="1134" w:type="dxa"/>
            <w:tcBorders>
              <w:left w:val="single" w:color="auto" w:sz="4" w:space="0"/>
              <w:right w:val="single" w:color="auto" w:sz="4" w:space="0"/>
            </w:tcBorders>
            <w:vAlign w:val="center"/>
          </w:tcPr>
          <w:p>
            <w:pPr>
              <w:jc w:val="center"/>
              <w:rPr>
                <w:rFonts w:ascii="宋体" w:hAnsi="宋体"/>
                <w:kern w:val="0"/>
              </w:rPr>
            </w:pPr>
            <w:r>
              <w:rPr>
                <w:rFonts w:hint="eastAsia" w:ascii="宋体" w:hAnsi="宋体"/>
                <w:kern w:val="0"/>
              </w:rPr>
              <w:t>商务部分得分</w:t>
            </w:r>
          </w:p>
          <w:p>
            <w:pPr>
              <w:jc w:val="center"/>
              <w:rPr>
                <w:rFonts w:ascii="宋体" w:hAnsi="宋体"/>
              </w:rPr>
            </w:pPr>
            <w:r>
              <w:rPr>
                <w:rFonts w:hint="eastAsia" w:ascii="宋体" w:hAnsi="宋体"/>
              </w:rPr>
              <w:t>（</w:t>
            </w:r>
            <w:r>
              <w:rPr>
                <w:rFonts w:ascii="宋体" w:hAnsi="宋体"/>
              </w:rPr>
              <w:t>B</w:t>
            </w:r>
            <w:r>
              <w:rPr>
                <w:rFonts w:hint="eastAsia" w:ascii="宋体" w:hAnsi="宋体"/>
              </w:rPr>
              <w:t>）</w:t>
            </w:r>
          </w:p>
        </w:tc>
        <w:tc>
          <w:tcPr>
            <w:tcW w:w="7088" w:type="dxa"/>
            <w:gridSpan w:val="5"/>
            <w:tcBorders>
              <w:top w:val="single" w:color="auto" w:sz="4" w:space="0"/>
              <w:left w:val="single" w:color="auto" w:sz="4" w:space="0"/>
              <w:right w:val="single" w:color="auto" w:sz="4" w:space="0"/>
            </w:tcBorders>
            <w:vAlign w:val="center"/>
          </w:tcPr>
          <w:p>
            <w:pPr>
              <w:ind w:firstLine="420" w:firstLineChars="200"/>
              <w:rPr>
                <w:rFonts w:ascii="宋体" w:hAnsi="宋体"/>
              </w:rPr>
            </w:pPr>
            <w:r>
              <w:rPr>
                <w:rFonts w:hint="eastAsia" w:ascii="宋体" w:hAnsi="宋体"/>
                <w:kern w:val="0"/>
              </w:rPr>
              <w:t>按</w:t>
            </w:r>
            <w:r>
              <w:rPr>
                <w:rFonts w:ascii="宋体" w:hAnsi="宋体"/>
                <w:kern w:val="0"/>
              </w:rPr>
              <w:t>2.2.4(2)项各评审因素设定的分值评分。以上计算取小数点后两位，第三位四舍五入。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rPr>
            </w:pPr>
            <w:r>
              <w:rPr>
                <w:rFonts w:ascii="宋体" w:hAnsi="宋体"/>
              </w:rPr>
              <w:t>3.2.2</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rPr>
            </w:pPr>
            <w:r>
              <w:rPr>
                <w:rFonts w:hint="eastAsia" w:ascii="宋体" w:hAnsi="宋体"/>
              </w:rPr>
              <w:t>投标人得分</w:t>
            </w:r>
          </w:p>
        </w:tc>
        <w:tc>
          <w:tcPr>
            <w:tcW w:w="4678" w:type="dxa"/>
            <w:gridSpan w:val="2"/>
            <w:tcBorders>
              <w:top w:val="single" w:color="auto" w:sz="4" w:space="0"/>
              <w:left w:val="single" w:color="auto" w:sz="4" w:space="0"/>
              <w:bottom w:val="single" w:color="auto" w:sz="4" w:space="0"/>
              <w:right w:val="single" w:color="auto" w:sz="4" w:space="0"/>
            </w:tcBorders>
          </w:tcPr>
          <w:p>
            <w:pPr>
              <w:ind w:firstLine="840" w:firstLineChars="400"/>
              <w:rPr>
                <w:rFonts w:ascii="宋体" w:hAnsi="宋体"/>
              </w:rPr>
            </w:pPr>
            <w:r>
              <w:rPr>
                <w:rFonts w:hint="eastAsia" w:ascii="宋体" w:hAnsi="宋体"/>
              </w:rPr>
              <w:t>投标人得分</w:t>
            </w:r>
            <w:r>
              <w:rPr>
                <w:rFonts w:ascii="宋体" w:hAnsi="宋体"/>
              </w:rPr>
              <w:t>=</w:t>
            </w:r>
            <w:r>
              <w:rPr>
                <w:rFonts w:ascii="宋体" w:hAnsi="宋体"/>
                <w:u w:val="single"/>
              </w:rPr>
              <w:t xml:space="preserve">  A+B</w:t>
            </w:r>
          </w:p>
        </w:tc>
      </w:tr>
    </w:tbl>
    <w:p>
      <w:pPr>
        <w:rPr>
          <w:rFonts w:ascii="宋体" w:hAnsi="宋体"/>
        </w:rPr>
        <w:sectPr>
          <w:pgSz w:w="11906" w:h="16838"/>
          <w:pgMar w:top="1440" w:right="1247" w:bottom="1089" w:left="1247" w:header="851" w:footer="992" w:gutter="0"/>
          <w:cols w:space="720" w:num="1"/>
          <w:titlePg/>
          <w:docGrid w:type="lines" w:linePitch="312" w:charSpace="0"/>
        </w:sectPr>
      </w:pPr>
    </w:p>
    <w:bookmarkEnd w:id="189"/>
    <w:bookmarkEnd w:id="190"/>
    <w:bookmarkEnd w:id="191"/>
    <w:bookmarkEnd w:id="192"/>
    <w:p>
      <w:pPr>
        <w:pStyle w:val="4"/>
        <w:rPr>
          <w:rFonts w:ascii="宋体" w:eastAsia="宋体" w:cs="Times New Roman"/>
        </w:rPr>
      </w:pPr>
      <w:bookmarkStart w:id="200" w:name="_Toc73546947"/>
      <w:bookmarkStart w:id="201" w:name="_Toc505071295"/>
      <w:bookmarkStart w:id="202" w:name="_Toc505071872"/>
      <w:bookmarkStart w:id="203" w:name="_Toc523907256"/>
      <w:r>
        <w:rPr>
          <w:rFonts w:ascii="宋体" w:eastAsia="宋体" w:cs="Times New Roman"/>
        </w:rPr>
        <w:t>1.</w:t>
      </w:r>
      <w:r>
        <w:rPr>
          <w:rFonts w:hint="eastAsia" w:ascii="宋体" w:eastAsia="宋体" w:cs="Times New Roman"/>
        </w:rPr>
        <w:t>评标方法</w:t>
      </w:r>
      <w:bookmarkEnd w:id="200"/>
      <w:bookmarkEnd w:id="201"/>
      <w:bookmarkEnd w:id="202"/>
      <w:bookmarkEnd w:id="203"/>
    </w:p>
    <w:p>
      <w:pPr>
        <w:autoSpaceDE w:val="0"/>
        <w:autoSpaceDN w:val="0"/>
        <w:adjustRightInd w:val="0"/>
        <w:snapToGrid w:val="0"/>
        <w:spacing w:line="360" w:lineRule="auto"/>
        <w:ind w:firstLine="420"/>
        <w:rPr>
          <w:rFonts w:ascii="宋体" w:hAnsi="宋体"/>
          <w:spacing w:val="4"/>
          <w:kern w:val="0"/>
        </w:rPr>
      </w:pPr>
      <w:r>
        <w:rPr>
          <w:rFonts w:hint="eastAsia" w:ascii="宋体" w:hAnsi="宋体"/>
          <w:spacing w:val="4"/>
          <w:kern w:val="0"/>
        </w:rPr>
        <w:t>本次评标采用综合评估法。评标委员会对满足招标文件实质性要求的投标文件，按照本章第</w:t>
      </w:r>
      <w:r>
        <w:rPr>
          <w:rFonts w:ascii="宋体" w:hAnsi="宋体"/>
          <w:spacing w:val="4"/>
          <w:kern w:val="0"/>
        </w:rPr>
        <w:t xml:space="preserve"> 2.2 </w:t>
      </w:r>
      <w:r>
        <w:rPr>
          <w:rFonts w:hint="eastAsia" w:ascii="宋体" w:hAnsi="宋体"/>
          <w:spacing w:val="4"/>
          <w:kern w:val="0"/>
        </w:rPr>
        <w:t>款规定的评分标准进行打分，按得分由高到低顺序推荐中标候选人，或根据招标人授权直接确定拟中标人，但投标报价低于其成本的除外。综合评分相等时，以投标报价低的优先；投标报价也相等的，由招标人自行确定。</w:t>
      </w:r>
    </w:p>
    <w:p>
      <w:pPr>
        <w:pStyle w:val="4"/>
        <w:rPr>
          <w:rFonts w:ascii="宋体" w:eastAsia="宋体" w:cs="Times New Roman"/>
        </w:rPr>
      </w:pPr>
      <w:bookmarkStart w:id="204" w:name="_Toc505071296"/>
      <w:bookmarkStart w:id="205" w:name="_Toc224103374"/>
      <w:bookmarkStart w:id="206" w:name="_Toc523907257"/>
      <w:bookmarkStart w:id="207" w:name="_Toc505071873"/>
      <w:bookmarkStart w:id="208" w:name="_Toc73546948"/>
      <w:bookmarkStart w:id="209" w:name="_Toc200513188"/>
      <w:bookmarkStart w:id="210" w:name="_Toc326055573"/>
      <w:bookmarkStart w:id="211" w:name="_Toc235631519"/>
      <w:r>
        <w:rPr>
          <w:rFonts w:ascii="宋体" w:eastAsia="宋体" w:cs="Times New Roman"/>
        </w:rPr>
        <w:t>2.</w:t>
      </w:r>
      <w:r>
        <w:rPr>
          <w:rFonts w:hint="eastAsia" w:ascii="宋体" w:eastAsia="宋体" w:cs="Times New Roman"/>
        </w:rPr>
        <w:t>评审标准</w:t>
      </w:r>
      <w:bookmarkEnd w:id="204"/>
      <w:bookmarkEnd w:id="205"/>
      <w:bookmarkEnd w:id="206"/>
      <w:bookmarkEnd w:id="207"/>
      <w:bookmarkEnd w:id="208"/>
      <w:bookmarkEnd w:id="209"/>
      <w:bookmarkEnd w:id="210"/>
      <w:bookmarkEnd w:id="211"/>
    </w:p>
    <w:p>
      <w:pPr>
        <w:pStyle w:val="5"/>
        <w:spacing w:before="0" w:line="360" w:lineRule="auto"/>
        <w:rPr>
          <w:rFonts w:ascii="宋体" w:eastAsia="宋体" w:cs="Times New Roman"/>
        </w:rPr>
      </w:pPr>
      <w:bookmarkStart w:id="212" w:name="_Toc248136930"/>
      <w:bookmarkStart w:id="213" w:name="_Toc505071874"/>
      <w:bookmarkStart w:id="214" w:name="_Toc326055574"/>
      <w:bookmarkStart w:id="215" w:name="_Toc235631520"/>
      <w:bookmarkStart w:id="216" w:name="_Toc200513189"/>
      <w:bookmarkStart w:id="217" w:name="_Toc224103375"/>
      <w:bookmarkStart w:id="218" w:name="_Toc505071297"/>
      <w:bookmarkStart w:id="219" w:name="_Toc523907258"/>
      <w:r>
        <w:rPr>
          <w:rFonts w:ascii="宋体" w:eastAsia="宋体" w:cs="Times New Roman"/>
        </w:rPr>
        <w:t xml:space="preserve">2.1  </w:t>
      </w:r>
      <w:r>
        <w:rPr>
          <w:rFonts w:hint="eastAsia" w:ascii="宋体" w:eastAsia="宋体" w:cs="Times New Roman"/>
        </w:rPr>
        <w:t>初步评审标准</w:t>
      </w:r>
      <w:bookmarkEnd w:id="212"/>
      <w:bookmarkEnd w:id="213"/>
      <w:bookmarkEnd w:id="214"/>
      <w:bookmarkEnd w:id="215"/>
      <w:bookmarkEnd w:id="216"/>
      <w:bookmarkEnd w:id="217"/>
      <w:bookmarkEnd w:id="218"/>
      <w:bookmarkEnd w:id="219"/>
    </w:p>
    <w:p>
      <w:pPr>
        <w:autoSpaceDE w:val="0"/>
        <w:autoSpaceDN w:val="0"/>
        <w:adjustRightInd w:val="0"/>
        <w:snapToGrid w:val="0"/>
        <w:spacing w:line="360" w:lineRule="auto"/>
        <w:ind w:firstLine="401" w:firstLineChars="191"/>
        <w:jc w:val="left"/>
        <w:rPr>
          <w:rFonts w:ascii="宋体" w:hAnsi="宋体"/>
          <w:kern w:val="0"/>
        </w:rPr>
      </w:pPr>
      <w:r>
        <w:rPr>
          <w:rFonts w:ascii="宋体" w:hAnsi="宋体"/>
          <w:kern w:val="0"/>
        </w:rPr>
        <w:t xml:space="preserve">2.1.1  </w:t>
      </w:r>
      <w:r>
        <w:rPr>
          <w:rFonts w:hint="eastAsia" w:ascii="宋体" w:hAnsi="宋体"/>
          <w:kern w:val="0"/>
        </w:rPr>
        <w:t>形式评审标准：见评标办法前附表。</w:t>
      </w:r>
    </w:p>
    <w:p>
      <w:pPr>
        <w:autoSpaceDE w:val="0"/>
        <w:autoSpaceDN w:val="0"/>
        <w:adjustRightInd w:val="0"/>
        <w:snapToGrid w:val="0"/>
        <w:spacing w:line="360" w:lineRule="auto"/>
        <w:ind w:firstLine="401" w:firstLineChars="191"/>
        <w:jc w:val="left"/>
        <w:rPr>
          <w:rFonts w:ascii="宋体" w:hAnsi="宋体"/>
          <w:kern w:val="0"/>
        </w:rPr>
      </w:pPr>
      <w:r>
        <w:rPr>
          <w:rFonts w:ascii="宋体" w:hAnsi="宋体"/>
          <w:kern w:val="0"/>
        </w:rPr>
        <w:t xml:space="preserve">2.1.2  </w:t>
      </w:r>
      <w:r>
        <w:rPr>
          <w:rFonts w:hint="eastAsia" w:ascii="宋体" w:hAnsi="宋体"/>
          <w:kern w:val="0"/>
        </w:rPr>
        <w:t>资格评审标准：见评标办法前附表。</w:t>
      </w:r>
    </w:p>
    <w:p>
      <w:pPr>
        <w:autoSpaceDE w:val="0"/>
        <w:autoSpaceDN w:val="0"/>
        <w:adjustRightInd w:val="0"/>
        <w:snapToGrid w:val="0"/>
        <w:spacing w:line="360" w:lineRule="auto"/>
        <w:ind w:firstLine="401" w:firstLineChars="191"/>
        <w:jc w:val="left"/>
        <w:rPr>
          <w:rFonts w:ascii="宋体" w:hAnsi="宋体"/>
          <w:kern w:val="0"/>
        </w:rPr>
      </w:pPr>
      <w:r>
        <w:rPr>
          <w:rFonts w:ascii="宋体" w:hAnsi="宋体"/>
          <w:kern w:val="0"/>
        </w:rPr>
        <w:t xml:space="preserve">2.1.3  </w:t>
      </w:r>
      <w:r>
        <w:rPr>
          <w:rFonts w:hint="eastAsia" w:ascii="宋体" w:hAnsi="宋体"/>
          <w:kern w:val="0"/>
        </w:rPr>
        <w:t>响应性评审标准：见评标办法前附表。</w:t>
      </w:r>
    </w:p>
    <w:p>
      <w:pPr>
        <w:pStyle w:val="5"/>
        <w:spacing w:before="0" w:line="360" w:lineRule="auto"/>
        <w:rPr>
          <w:rFonts w:ascii="宋体" w:eastAsia="宋体" w:cs="Times New Roman"/>
          <w:sz w:val="28"/>
        </w:rPr>
      </w:pPr>
      <w:bookmarkStart w:id="220" w:name="_Toc326055575"/>
      <w:bookmarkStart w:id="221" w:name="_Toc235631521"/>
      <w:bookmarkStart w:id="222" w:name="_Toc224103376"/>
      <w:bookmarkStart w:id="223" w:name="_Toc200513190"/>
      <w:bookmarkStart w:id="224" w:name="_Toc248136931"/>
      <w:bookmarkStart w:id="225" w:name="_Toc505071298"/>
      <w:bookmarkStart w:id="226" w:name="_Toc523907259"/>
      <w:bookmarkStart w:id="227" w:name="_Toc505071875"/>
      <w:r>
        <w:rPr>
          <w:rFonts w:ascii="宋体" w:eastAsia="宋体" w:cs="Times New Roman"/>
        </w:rPr>
        <w:t xml:space="preserve">2.2  </w:t>
      </w:r>
      <w:bookmarkEnd w:id="220"/>
      <w:bookmarkEnd w:id="221"/>
      <w:bookmarkEnd w:id="222"/>
      <w:bookmarkEnd w:id="223"/>
      <w:bookmarkEnd w:id="224"/>
      <w:r>
        <w:rPr>
          <w:rFonts w:hint="eastAsia" w:ascii="宋体" w:eastAsia="宋体" w:cs="Times New Roman"/>
        </w:rPr>
        <w:t>分值构成与评分标准</w:t>
      </w:r>
      <w:bookmarkEnd w:id="225"/>
      <w:bookmarkEnd w:id="226"/>
      <w:bookmarkEnd w:id="227"/>
    </w:p>
    <w:p>
      <w:pPr>
        <w:autoSpaceDE w:val="0"/>
        <w:autoSpaceDN w:val="0"/>
        <w:adjustRightInd w:val="0"/>
        <w:snapToGrid w:val="0"/>
        <w:spacing w:line="360" w:lineRule="auto"/>
        <w:ind w:firstLine="525" w:firstLineChars="250"/>
        <w:jc w:val="left"/>
        <w:rPr>
          <w:rFonts w:ascii="宋体" w:hAnsi="宋体"/>
          <w:kern w:val="0"/>
        </w:rPr>
      </w:pPr>
      <w:bookmarkStart w:id="228" w:name="_Toc200513191"/>
      <w:bookmarkStart w:id="229" w:name="_Toc505071876"/>
      <w:bookmarkStart w:id="230" w:name="_Toc224103377"/>
      <w:bookmarkStart w:id="231" w:name="_Toc523907260"/>
      <w:bookmarkStart w:id="232" w:name="_Toc235631522"/>
      <w:bookmarkStart w:id="233" w:name="_Toc326055576"/>
      <w:bookmarkStart w:id="234" w:name="_Toc505071299"/>
      <w:bookmarkStart w:id="235" w:name="_Toc200513202"/>
      <w:r>
        <w:rPr>
          <w:rFonts w:ascii="宋体" w:hAnsi="宋体"/>
          <w:kern w:val="0"/>
        </w:rPr>
        <w:t xml:space="preserve">2.2.1  </w:t>
      </w:r>
      <w:r>
        <w:rPr>
          <w:rFonts w:hint="eastAsia" w:ascii="宋体" w:hAnsi="宋体"/>
          <w:kern w:val="0"/>
        </w:rPr>
        <w:t>分值构成</w:t>
      </w:r>
    </w:p>
    <w:p>
      <w:pPr>
        <w:autoSpaceDE w:val="0"/>
        <w:autoSpaceDN w:val="0"/>
        <w:adjustRightInd w:val="0"/>
        <w:snapToGrid w:val="0"/>
        <w:spacing w:line="360" w:lineRule="auto"/>
        <w:ind w:left="896" w:leftChars="258" w:hanging="354" w:hangingChars="169"/>
        <w:jc w:val="left"/>
        <w:rPr>
          <w:rFonts w:ascii="宋体" w:hAnsi="宋体"/>
          <w:kern w:val="0"/>
        </w:rPr>
      </w:pPr>
      <w:r>
        <w:rPr>
          <w:rFonts w:hint="eastAsia" w:ascii="宋体" w:hAnsi="宋体"/>
          <w:kern w:val="0"/>
        </w:rPr>
        <w:t>（</w:t>
      </w:r>
      <w:r>
        <w:rPr>
          <w:rFonts w:ascii="宋体" w:hAnsi="宋体"/>
          <w:kern w:val="0"/>
        </w:rPr>
        <w:t>1</w:t>
      </w:r>
      <w:r>
        <w:rPr>
          <w:rFonts w:hint="eastAsia" w:ascii="宋体" w:hAnsi="宋体"/>
          <w:kern w:val="0"/>
        </w:rPr>
        <w:t>）投标报价：见评标办法前附表。</w:t>
      </w:r>
    </w:p>
    <w:p>
      <w:pPr>
        <w:autoSpaceDE w:val="0"/>
        <w:autoSpaceDN w:val="0"/>
        <w:adjustRightInd w:val="0"/>
        <w:snapToGrid w:val="0"/>
        <w:spacing w:line="360" w:lineRule="auto"/>
        <w:ind w:left="896" w:leftChars="258" w:hanging="354" w:hangingChars="169"/>
        <w:jc w:val="left"/>
        <w:rPr>
          <w:rFonts w:ascii="宋体" w:hAnsi="宋体"/>
          <w:kern w:val="0"/>
        </w:rPr>
      </w:pPr>
      <w:r>
        <w:rPr>
          <w:rFonts w:hint="eastAsia" w:ascii="宋体" w:hAnsi="宋体"/>
          <w:kern w:val="0"/>
        </w:rPr>
        <w:t>（2）</w:t>
      </w:r>
      <w:r>
        <w:rPr>
          <w:rFonts w:ascii="宋体" w:hAnsi="宋体"/>
          <w:kern w:val="0"/>
        </w:rPr>
        <w:t>商务部分：见评标办法前附表。</w:t>
      </w:r>
    </w:p>
    <w:p>
      <w:pPr>
        <w:autoSpaceDE w:val="0"/>
        <w:autoSpaceDN w:val="0"/>
        <w:adjustRightInd w:val="0"/>
        <w:snapToGrid w:val="0"/>
        <w:spacing w:line="360" w:lineRule="auto"/>
        <w:ind w:left="1" w:firstLine="535" w:firstLineChars="255"/>
        <w:jc w:val="left"/>
        <w:rPr>
          <w:rFonts w:ascii="宋体" w:hAnsi="宋体"/>
          <w:kern w:val="0"/>
        </w:rPr>
      </w:pPr>
      <w:r>
        <w:rPr>
          <w:rFonts w:ascii="宋体" w:hAnsi="宋体"/>
          <w:kern w:val="0"/>
        </w:rPr>
        <w:t xml:space="preserve">2.2.2  </w:t>
      </w:r>
      <w:r>
        <w:rPr>
          <w:rFonts w:hint="eastAsia" w:ascii="宋体" w:hAnsi="宋体"/>
          <w:kern w:val="0"/>
        </w:rPr>
        <w:t>评标基准价计算</w:t>
      </w:r>
    </w:p>
    <w:p>
      <w:pPr>
        <w:autoSpaceDE w:val="0"/>
        <w:autoSpaceDN w:val="0"/>
        <w:adjustRightInd w:val="0"/>
        <w:snapToGrid w:val="0"/>
        <w:spacing w:line="360" w:lineRule="auto"/>
        <w:ind w:left="1" w:firstLine="535" w:firstLineChars="255"/>
        <w:jc w:val="left"/>
        <w:rPr>
          <w:rFonts w:ascii="宋体" w:hAnsi="宋体"/>
          <w:kern w:val="0"/>
        </w:rPr>
      </w:pPr>
      <w:r>
        <w:rPr>
          <w:rFonts w:hint="eastAsia" w:ascii="宋体" w:hAnsi="宋体"/>
          <w:kern w:val="0"/>
        </w:rPr>
        <w:t>评标基准价计算方法：见评标办法前附表。</w:t>
      </w:r>
    </w:p>
    <w:p>
      <w:pPr>
        <w:autoSpaceDE w:val="0"/>
        <w:autoSpaceDN w:val="0"/>
        <w:adjustRightInd w:val="0"/>
        <w:snapToGrid w:val="0"/>
        <w:spacing w:line="360" w:lineRule="auto"/>
        <w:ind w:left="1" w:firstLine="535" w:firstLineChars="255"/>
        <w:jc w:val="left"/>
        <w:rPr>
          <w:rFonts w:ascii="宋体" w:hAnsi="宋体"/>
          <w:kern w:val="0"/>
        </w:rPr>
      </w:pPr>
      <w:r>
        <w:rPr>
          <w:rFonts w:ascii="宋体" w:hAnsi="宋体"/>
          <w:kern w:val="0"/>
        </w:rPr>
        <w:t xml:space="preserve">2.2.3  </w:t>
      </w:r>
      <w:r>
        <w:rPr>
          <w:rFonts w:hint="eastAsia" w:ascii="宋体" w:hAnsi="宋体"/>
          <w:kern w:val="0"/>
        </w:rPr>
        <w:t>评分标准</w:t>
      </w:r>
    </w:p>
    <w:p>
      <w:pPr>
        <w:autoSpaceDE w:val="0"/>
        <w:autoSpaceDN w:val="0"/>
        <w:adjustRightInd w:val="0"/>
        <w:snapToGrid w:val="0"/>
        <w:spacing w:line="360" w:lineRule="auto"/>
        <w:ind w:left="896" w:leftChars="258" w:hanging="354" w:hangingChars="169"/>
        <w:jc w:val="left"/>
        <w:rPr>
          <w:rFonts w:ascii="宋体" w:hAnsi="宋体"/>
          <w:kern w:val="0"/>
        </w:rPr>
      </w:pPr>
      <w:r>
        <w:rPr>
          <w:rFonts w:hint="eastAsia" w:ascii="宋体" w:hAnsi="宋体"/>
          <w:kern w:val="0"/>
        </w:rPr>
        <w:t>（</w:t>
      </w:r>
      <w:r>
        <w:rPr>
          <w:rFonts w:ascii="宋体" w:hAnsi="宋体"/>
          <w:spacing w:val="1"/>
          <w:kern w:val="0"/>
        </w:rPr>
        <w:t>1</w:t>
      </w:r>
      <w:r>
        <w:rPr>
          <w:rFonts w:hint="eastAsia" w:ascii="宋体" w:hAnsi="宋体"/>
          <w:kern w:val="0"/>
        </w:rPr>
        <w:t>）投标</w:t>
      </w:r>
      <w:r>
        <w:rPr>
          <w:rFonts w:hint="eastAsia" w:ascii="宋体" w:hAnsi="宋体"/>
          <w:spacing w:val="-1"/>
          <w:kern w:val="0"/>
        </w:rPr>
        <w:t>报</w:t>
      </w:r>
      <w:r>
        <w:rPr>
          <w:rFonts w:hint="eastAsia" w:ascii="宋体" w:hAnsi="宋体"/>
          <w:kern w:val="0"/>
        </w:rPr>
        <w:t>价评分标准：见评标办法前附表。</w:t>
      </w:r>
    </w:p>
    <w:p>
      <w:pPr>
        <w:autoSpaceDE w:val="0"/>
        <w:autoSpaceDN w:val="0"/>
        <w:adjustRightInd w:val="0"/>
        <w:snapToGrid w:val="0"/>
        <w:spacing w:line="360" w:lineRule="auto"/>
        <w:ind w:firstLine="525" w:firstLineChars="250"/>
        <w:jc w:val="left"/>
        <w:rPr>
          <w:rFonts w:ascii="宋体" w:hAnsi="宋体"/>
          <w:kern w:val="0"/>
        </w:rPr>
      </w:pPr>
      <w:r>
        <w:rPr>
          <w:rFonts w:hint="eastAsia" w:ascii="宋体" w:hAnsi="宋体"/>
          <w:kern w:val="0"/>
        </w:rPr>
        <w:t>（</w:t>
      </w:r>
      <w:r>
        <w:rPr>
          <w:rFonts w:ascii="宋体" w:hAnsi="宋体"/>
          <w:kern w:val="0"/>
        </w:rPr>
        <w:t>2）商务部分评分标准：见评标办法前附表</w:t>
      </w:r>
      <w:r>
        <w:rPr>
          <w:rFonts w:hint="eastAsia" w:ascii="宋体" w:hAnsi="宋体"/>
          <w:kern w:val="0"/>
        </w:rPr>
        <w:t>。</w:t>
      </w:r>
    </w:p>
    <w:p>
      <w:pPr>
        <w:pStyle w:val="4"/>
        <w:rPr>
          <w:rFonts w:ascii="宋体" w:eastAsia="宋体" w:cs="Times New Roman"/>
        </w:rPr>
      </w:pPr>
      <w:bookmarkStart w:id="236" w:name="_Toc73546949"/>
      <w:r>
        <w:rPr>
          <w:rFonts w:ascii="宋体" w:eastAsia="宋体" w:cs="Times New Roman"/>
        </w:rPr>
        <w:t>3.</w:t>
      </w:r>
      <w:r>
        <w:rPr>
          <w:rFonts w:hint="eastAsia" w:ascii="宋体" w:eastAsia="宋体" w:cs="Times New Roman"/>
        </w:rPr>
        <w:t>评标程序</w:t>
      </w:r>
      <w:bookmarkEnd w:id="228"/>
      <w:bookmarkEnd w:id="229"/>
      <w:bookmarkEnd w:id="230"/>
      <w:bookmarkEnd w:id="231"/>
      <w:bookmarkEnd w:id="232"/>
      <w:bookmarkEnd w:id="233"/>
      <w:bookmarkEnd w:id="234"/>
      <w:bookmarkEnd w:id="236"/>
    </w:p>
    <w:p>
      <w:pPr>
        <w:pStyle w:val="5"/>
        <w:spacing w:before="0" w:line="360" w:lineRule="auto"/>
        <w:rPr>
          <w:rFonts w:ascii="宋体" w:eastAsia="宋体" w:cs="Times New Roman"/>
        </w:rPr>
      </w:pPr>
      <w:bookmarkStart w:id="237" w:name="_Toc505071300"/>
      <w:bookmarkStart w:id="238" w:name="_Toc235631523"/>
      <w:bookmarkStart w:id="239" w:name="_Toc505071877"/>
      <w:bookmarkStart w:id="240" w:name="_Toc224103378"/>
      <w:bookmarkStart w:id="241" w:name="_Toc523907261"/>
      <w:bookmarkStart w:id="242" w:name="_Toc248136933"/>
      <w:bookmarkStart w:id="243" w:name="_Toc326055577"/>
      <w:bookmarkStart w:id="244" w:name="_Toc200513192"/>
      <w:r>
        <w:rPr>
          <w:rFonts w:ascii="宋体" w:eastAsia="宋体" w:cs="Times New Roman"/>
        </w:rPr>
        <w:t xml:space="preserve">3.1  </w:t>
      </w:r>
      <w:r>
        <w:rPr>
          <w:rFonts w:hint="eastAsia" w:ascii="宋体" w:eastAsia="宋体" w:cs="Times New Roman"/>
        </w:rPr>
        <w:t>初步评审</w:t>
      </w:r>
      <w:bookmarkEnd w:id="237"/>
      <w:bookmarkEnd w:id="238"/>
      <w:bookmarkEnd w:id="239"/>
      <w:bookmarkEnd w:id="240"/>
      <w:bookmarkEnd w:id="241"/>
      <w:bookmarkEnd w:id="242"/>
      <w:bookmarkEnd w:id="243"/>
      <w:bookmarkEnd w:id="244"/>
    </w:p>
    <w:bookmarkEnd w:id="235"/>
    <w:p>
      <w:pPr>
        <w:autoSpaceDE w:val="0"/>
        <w:autoSpaceDN w:val="0"/>
        <w:adjustRightInd w:val="0"/>
        <w:snapToGrid w:val="0"/>
        <w:spacing w:line="360" w:lineRule="auto"/>
        <w:ind w:firstLine="532"/>
        <w:jc w:val="left"/>
        <w:rPr>
          <w:rFonts w:ascii="宋体" w:hAnsi="宋体"/>
          <w:kern w:val="0"/>
          <w:szCs w:val="21"/>
        </w:rPr>
      </w:pPr>
      <w:r>
        <w:rPr>
          <w:rFonts w:ascii="宋体" w:hAnsi="宋体"/>
          <w:kern w:val="0"/>
          <w:szCs w:val="21"/>
        </w:rPr>
        <w:t xml:space="preserve">3.1.1  </w:t>
      </w:r>
      <w:r>
        <w:rPr>
          <w:rFonts w:hint="eastAsia" w:ascii="宋体" w:hAnsi="宋体"/>
          <w:kern w:val="0"/>
          <w:szCs w:val="21"/>
        </w:rPr>
        <w:t>评标委员会要求投标人必须提交第二章“投标人须知”第1.4.1项和第</w:t>
      </w:r>
      <w:r>
        <w:rPr>
          <w:rFonts w:ascii="宋体" w:hAnsi="宋体"/>
          <w:kern w:val="0"/>
          <w:szCs w:val="21"/>
        </w:rPr>
        <w:t xml:space="preserve"> 3.5.1 </w:t>
      </w:r>
      <w:r>
        <w:rPr>
          <w:rFonts w:hint="eastAsia" w:ascii="宋体" w:hAnsi="宋体"/>
          <w:kern w:val="0"/>
          <w:szCs w:val="21"/>
        </w:rPr>
        <w:t>项至第</w:t>
      </w:r>
      <w:r>
        <w:rPr>
          <w:rFonts w:ascii="宋体" w:hAnsi="宋体"/>
          <w:kern w:val="0"/>
          <w:szCs w:val="21"/>
        </w:rPr>
        <w:t xml:space="preserve"> 3.5.5 </w:t>
      </w:r>
      <w:r>
        <w:rPr>
          <w:rFonts w:hint="eastAsia" w:ascii="宋体" w:hAnsi="宋体"/>
          <w:kern w:val="0"/>
          <w:szCs w:val="21"/>
        </w:rPr>
        <w:t>项规定的有关证明和证件的复印件（原件备查）。评标委员会依据本章第</w:t>
      </w:r>
      <w:r>
        <w:rPr>
          <w:rFonts w:ascii="宋体" w:hAnsi="宋体"/>
          <w:kern w:val="0"/>
          <w:szCs w:val="21"/>
        </w:rPr>
        <w:t xml:space="preserve"> 2.1 </w:t>
      </w:r>
      <w:r>
        <w:rPr>
          <w:rFonts w:hint="eastAsia" w:ascii="宋体" w:hAnsi="宋体"/>
          <w:kern w:val="0"/>
          <w:szCs w:val="21"/>
        </w:rPr>
        <w:t>款规定的标准对投标文件进行初步评审。有一项不符合评审标准的，作废标处理。</w:t>
      </w:r>
    </w:p>
    <w:p>
      <w:pPr>
        <w:autoSpaceDE w:val="0"/>
        <w:autoSpaceDN w:val="0"/>
        <w:adjustRightInd w:val="0"/>
        <w:snapToGrid w:val="0"/>
        <w:spacing w:line="360" w:lineRule="auto"/>
        <w:ind w:firstLine="532"/>
        <w:jc w:val="left"/>
        <w:rPr>
          <w:rFonts w:ascii="宋体" w:hAnsi="宋体"/>
          <w:kern w:val="0"/>
          <w:szCs w:val="21"/>
        </w:rPr>
      </w:pPr>
      <w:r>
        <w:rPr>
          <w:rFonts w:ascii="宋体" w:hAnsi="宋体"/>
          <w:kern w:val="0"/>
          <w:szCs w:val="21"/>
        </w:rPr>
        <w:t xml:space="preserve">3.1.2  </w:t>
      </w:r>
      <w:r>
        <w:rPr>
          <w:rFonts w:hint="eastAsia" w:ascii="宋体" w:hAnsi="宋体"/>
          <w:kern w:val="0"/>
          <w:szCs w:val="21"/>
        </w:rPr>
        <w:t>不允许投标人有以下情形之一：</w:t>
      </w:r>
    </w:p>
    <w:p>
      <w:pPr>
        <w:autoSpaceDE w:val="0"/>
        <w:autoSpaceDN w:val="0"/>
        <w:adjustRightInd w:val="0"/>
        <w:snapToGrid w:val="0"/>
        <w:spacing w:line="360" w:lineRule="auto"/>
        <w:ind w:firstLine="532"/>
        <w:jc w:val="left"/>
        <w:rPr>
          <w:rFonts w:ascii="宋体" w:hAnsi="宋体"/>
          <w:kern w:val="0"/>
          <w:szCs w:val="21"/>
        </w:rPr>
      </w:pPr>
      <w:r>
        <w:rPr>
          <w:rFonts w:hint="eastAsia" w:ascii="宋体" w:hAnsi="宋体"/>
          <w:kern w:val="0"/>
          <w:szCs w:val="21"/>
        </w:rPr>
        <w:t>（1）第二章“投标人须知”第</w:t>
      </w:r>
      <w:r>
        <w:rPr>
          <w:rFonts w:ascii="宋体" w:hAnsi="宋体"/>
          <w:kern w:val="0"/>
          <w:szCs w:val="21"/>
        </w:rPr>
        <w:t xml:space="preserve"> 1.4.3 </w:t>
      </w:r>
      <w:r>
        <w:rPr>
          <w:rFonts w:hint="eastAsia" w:ascii="宋体" w:hAnsi="宋体"/>
          <w:kern w:val="0"/>
          <w:szCs w:val="21"/>
        </w:rPr>
        <w:t>项规定的任何一种情形的。</w:t>
      </w:r>
    </w:p>
    <w:p>
      <w:pPr>
        <w:autoSpaceDE w:val="0"/>
        <w:autoSpaceDN w:val="0"/>
        <w:adjustRightInd w:val="0"/>
        <w:snapToGrid w:val="0"/>
        <w:spacing w:line="360" w:lineRule="auto"/>
        <w:ind w:firstLine="532"/>
        <w:jc w:val="left"/>
        <w:rPr>
          <w:rFonts w:ascii="宋体" w:hAnsi="宋体"/>
          <w:kern w:val="0"/>
          <w:szCs w:val="21"/>
        </w:rPr>
      </w:pPr>
      <w:r>
        <w:rPr>
          <w:rFonts w:hint="eastAsia" w:ascii="宋体" w:hAnsi="宋体"/>
          <w:kern w:val="0"/>
          <w:szCs w:val="21"/>
        </w:rPr>
        <w:t>（2）串通投标或弄虚作假或有其他违法行为的。</w:t>
      </w:r>
    </w:p>
    <w:p>
      <w:pPr>
        <w:autoSpaceDE w:val="0"/>
        <w:autoSpaceDN w:val="0"/>
        <w:adjustRightInd w:val="0"/>
        <w:snapToGrid w:val="0"/>
        <w:spacing w:line="360" w:lineRule="auto"/>
        <w:ind w:firstLine="532"/>
        <w:jc w:val="left"/>
        <w:rPr>
          <w:rFonts w:ascii="宋体" w:hAnsi="宋体"/>
          <w:kern w:val="0"/>
          <w:szCs w:val="21"/>
        </w:rPr>
      </w:pPr>
      <w:r>
        <w:rPr>
          <w:rFonts w:hint="eastAsia" w:ascii="宋体" w:hAnsi="宋体"/>
          <w:kern w:val="0"/>
          <w:szCs w:val="21"/>
        </w:rPr>
        <w:t>（3）不按评标委员会要求澄清、说明或补正的。</w:t>
      </w:r>
    </w:p>
    <w:p>
      <w:pPr>
        <w:autoSpaceDE w:val="0"/>
        <w:autoSpaceDN w:val="0"/>
        <w:adjustRightInd w:val="0"/>
        <w:snapToGrid w:val="0"/>
        <w:spacing w:line="360" w:lineRule="auto"/>
        <w:ind w:firstLine="532"/>
        <w:jc w:val="left"/>
        <w:rPr>
          <w:rFonts w:ascii="宋体" w:hAnsi="宋体"/>
          <w:kern w:val="0"/>
          <w:szCs w:val="21"/>
        </w:rPr>
      </w:pPr>
      <w:r>
        <w:rPr>
          <w:rFonts w:hint="eastAsia" w:ascii="宋体" w:hAnsi="宋体"/>
          <w:kern w:val="0"/>
          <w:szCs w:val="21"/>
        </w:rPr>
        <w:t>（4）本招标文件约定的其他情形。</w:t>
      </w:r>
    </w:p>
    <w:p>
      <w:pPr>
        <w:autoSpaceDE w:val="0"/>
        <w:autoSpaceDN w:val="0"/>
        <w:adjustRightInd w:val="0"/>
        <w:snapToGrid w:val="0"/>
        <w:spacing w:line="360" w:lineRule="auto"/>
        <w:ind w:firstLine="532"/>
        <w:jc w:val="left"/>
        <w:rPr>
          <w:rFonts w:ascii="宋体" w:hAnsi="宋体"/>
          <w:kern w:val="0"/>
          <w:szCs w:val="21"/>
        </w:rPr>
      </w:pPr>
      <w:r>
        <w:rPr>
          <w:rFonts w:ascii="宋体" w:hAnsi="宋体"/>
          <w:kern w:val="0"/>
          <w:szCs w:val="21"/>
        </w:rPr>
        <w:t xml:space="preserve">3.1.3  </w:t>
      </w:r>
      <w:r>
        <w:rPr>
          <w:rFonts w:hint="eastAsia" w:ascii="宋体" w:hAnsi="宋体"/>
          <w:kern w:val="0"/>
          <w:szCs w:val="21"/>
        </w:rPr>
        <w:t>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napToGrid w:val="0"/>
        <w:spacing w:line="360" w:lineRule="auto"/>
        <w:ind w:firstLine="532"/>
        <w:jc w:val="left"/>
        <w:rPr>
          <w:rFonts w:ascii="宋体" w:hAnsi="宋体"/>
          <w:kern w:val="0"/>
          <w:szCs w:val="21"/>
        </w:rPr>
      </w:pPr>
      <w:r>
        <w:rPr>
          <w:rFonts w:hint="eastAsia" w:ascii="宋体" w:hAnsi="宋体"/>
          <w:kern w:val="0"/>
          <w:szCs w:val="21"/>
        </w:rPr>
        <w:t>（1）投标文件中的大写金额与小写金额不一致的，以大写金额为准。</w:t>
      </w:r>
    </w:p>
    <w:p>
      <w:pPr>
        <w:autoSpaceDE w:val="0"/>
        <w:autoSpaceDN w:val="0"/>
        <w:adjustRightInd w:val="0"/>
        <w:snapToGrid w:val="0"/>
        <w:spacing w:line="360" w:lineRule="auto"/>
        <w:ind w:firstLine="532"/>
        <w:jc w:val="left"/>
        <w:rPr>
          <w:rFonts w:ascii="宋体" w:hAnsi="宋体"/>
          <w:kern w:val="0"/>
          <w:szCs w:val="21"/>
        </w:rPr>
      </w:pPr>
      <w:r>
        <w:rPr>
          <w:rFonts w:hint="eastAsia" w:ascii="宋体" w:hAnsi="宋体"/>
          <w:kern w:val="0"/>
          <w:szCs w:val="21"/>
        </w:rPr>
        <w:t>（2）总价金额与依据单价计算出的结果不一致的，以单价金额为准修正总价，但单价金额小数点有明显错误的除外。</w:t>
      </w:r>
    </w:p>
    <w:p>
      <w:pPr>
        <w:pStyle w:val="5"/>
        <w:spacing w:before="0" w:line="360" w:lineRule="auto"/>
        <w:rPr>
          <w:rFonts w:ascii="宋体" w:eastAsia="宋体" w:cs="Times New Roman"/>
        </w:rPr>
      </w:pPr>
      <w:bookmarkStart w:id="245" w:name="_Toc326055578"/>
      <w:bookmarkStart w:id="246" w:name="_Toc200513193"/>
      <w:bookmarkStart w:id="247" w:name="_Toc248136934"/>
      <w:bookmarkStart w:id="248" w:name="_Toc224103379"/>
      <w:bookmarkStart w:id="249" w:name="_Toc505071878"/>
      <w:bookmarkStart w:id="250" w:name="_Toc523907262"/>
      <w:bookmarkStart w:id="251" w:name="_Toc505071301"/>
      <w:bookmarkStart w:id="252" w:name="_Toc235631524"/>
      <w:r>
        <w:rPr>
          <w:rFonts w:ascii="宋体" w:eastAsia="宋体" w:cs="Times New Roman"/>
        </w:rPr>
        <w:t xml:space="preserve">3.2  </w:t>
      </w:r>
      <w:r>
        <w:rPr>
          <w:rFonts w:hint="eastAsia" w:ascii="宋体" w:eastAsia="宋体" w:cs="Times New Roman"/>
        </w:rPr>
        <w:t>详细评审</w:t>
      </w:r>
      <w:bookmarkEnd w:id="245"/>
      <w:bookmarkEnd w:id="246"/>
      <w:bookmarkEnd w:id="247"/>
      <w:bookmarkEnd w:id="248"/>
      <w:bookmarkEnd w:id="249"/>
      <w:bookmarkEnd w:id="250"/>
      <w:bookmarkEnd w:id="251"/>
      <w:bookmarkEnd w:id="252"/>
    </w:p>
    <w:p>
      <w:pPr>
        <w:autoSpaceDE w:val="0"/>
        <w:autoSpaceDN w:val="0"/>
        <w:adjustRightInd w:val="0"/>
        <w:snapToGrid w:val="0"/>
        <w:spacing w:line="360" w:lineRule="auto"/>
        <w:ind w:left="1" w:firstLine="535" w:firstLineChars="255"/>
        <w:jc w:val="left"/>
        <w:rPr>
          <w:rFonts w:ascii="宋体" w:hAnsi="宋体"/>
          <w:kern w:val="0"/>
        </w:rPr>
      </w:pPr>
      <w:bookmarkStart w:id="253" w:name="_Toc200513194"/>
      <w:bookmarkStart w:id="254" w:name="_Toc523907263"/>
      <w:bookmarkStart w:id="255" w:name="_Toc505071879"/>
      <w:bookmarkStart w:id="256" w:name="_Toc224103380"/>
      <w:bookmarkStart w:id="257" w:name="_Toc235631525"/>
      <w:bookmarkStart w:id="258" w:name="_Toc326055579"/>
      <w:bookmarkStart w:id="259" w:name="_Toc248136935"/>
      <w:bookmarkStart w:id="260" w:name="_Toc505071302"/>
      <w:r>
        <w:rPr>
          <w:rFonts w:ascii="宋体" w:hAnsi="宋体"/>
          <w:kern w:val="0"/>
        </w:rPr>
        <w:t xml:space="preserve">3.2.1  </w:t>
      </w:r>
      <w:r>
        <w:rPr>
          <w:rFonts w:hint="eastAsia" w:ascii="宋体" w:hAnsi="宋体"/>
          <w:kern w:val="0"/>
        </w:rPr>
        <w:t>评标委员会按本章第</w:t>
      </w:r>
      <w:r>
        <w:rPr>
          <w:rFonts w:ascii="宋体" w:hAnsi="宋体"/>
          <w:kern w:val="0"/>
        </w:rPr>
        <w:t>2.2款规定的量化因素和分值进行评审。</w:t>
      </w:r>
    </w:p>
    <w:p>
      <w:pPr>
        <w:autoSpaceDE w:val="0"/>
        <w:autoSpaceDN w:val="0"/>
        <w:adjustRightInd w:val="0"/>
        <w:snapToGrid w:val="0"/>
        <w:spacing w:line="360" w:lineRule="auto"/>
        <w:ind w:left="1" w:firstLine="535" w:firstLineChars="255"/>
        <w:jc w:val="left"/>
        <w:rPr>
          <w:rFonts w:ascii="宋体" w:hAnsi="宋体"/>
          <w:kern w:val="0"/>
        </w:rPr>
      </w:pPr>
      <w:r>
        <w:rPr>
          <w:rFonts w:hint="eastAsia" w:ascii="宋体" w:hAnsi="宋体"/>
          <w:kern w:val="0"/>
        </w:rPr>
        <w:t>（</w:t>
      </w:r>
      <w:r>
        <w:rPr>
          <w:rFonts w:ascii="宋体" w:hAnsi="宋体"/>
          <w:kern w:val="0"/>
        </w:rPr>
        <w:t>1）按本章第 3.2.1（1</w:t>
      </w:r>
      <w:r>
        <w:rPr>
          <w:rFonts w:hint="eastAsia" w:ascii="宋体" w:hAnsi="宋体"/>
          <w:kern w:val="0"/>
        </w:rPr>
        <w:t>）目规定的评审因素和分值对投标报价计算出得分</w:t>
      </w:r>
      <w:r>
        <w:rPr>
          <w:rFonts w:ascii="宋体" w:hAnsi="宋体"/>
          <w:kern w:val="0"/>
        </w:rPr>
        <w:t>A。</w:t>
      </w:r>
    </w:p>
    <w:p>
      <w:pPr>
        <w:autoSpaceDE w:val="0"/>
        <w:autoSpaceDN w:val="0"/>
        <w:adjustRightInd w:val="0"/>
        <w:snapToGrid w:val="0"/>
        <w:spacing w:line="360" w:lineRule="auto"/>
        <w:ind w:left="1" w:firstLine="640" w:firstLineChars="305"/>
        <w:jc w:val="left"/>
        <w:rPr>
          <w:rFonts w:ascii="宋体" w:hAnsi="宋体"/>
          <w:kern w:val="0"/>
        </w:rPr>
      </w:pPr>
      <w:r>
        <w:rPr>
          <w:rFonts w:ascii="宋体" w:hAnsi="宋体"/>
          <w:kern w:val="0"/>
        </w:rPr>
        <w:t xml:space="preserve">(2) </w:t>
      </w:r>
      <w:r>
        <w:rPr>
          <w:rFonts w:hint="eastAsia" w:ascii="宋体" w:hAnsi="宋体"/>
          <w:kern w:val="0"/>
        </w:rPr>
        <w:t>按本章第</w:t>
      </w:r>
      <w:r>
        <w:rPr>
          <w:rFonts w:ascii="宋体" w:hAnsi="宋体"/>
          <w:kern w:val="0"/>
        </w:rPr>
        <w:t xml:space="preserve"> 3.2.1（2</w:t>
      </w:r>
      <w:r>
        <w:rPr>
          <w:rFonts w:hint="eastAsia" w:ascii="宋体" w:hAnsi="宋体"/>
          <w:kern w:val="0"/>
        </w:rPr>
        <w:t>）目规定的评审因素和分值对投标人商务部分计算出得分</w:t>
      </w:r>
      <w:r>
        <w:rPr>
          <w:rFonts w:ascii="宋体" w:hAnsi="宋体"/>
          <w:kern w:val="0"/>
        </w:rPr>
        <w:t>B</w:t>
      </w:r>
      <w:r>
        <w:rPr>
          <w:rFonts w:hint="eastAsia" w:ascii="宋体" w:hAnsi="宋体"/>
          <w:kern w:val="0"/>
        </w:rPr>
        <w:t>。</w:t>
      </w:r>
    </w:p>
    <w:p>
      <w:pPr>
        <w:autoSpaceDE w:val="0"/>
        <w:autoSpaceDN w:val="0"/>
        <w:adjustRightInd w:val="0"/>
        <w:snapToGrid w:val="0"/>
        <w:spacing w:line="360" w:lineRule="auto"/>
        <w:ind w:left="1" w:firstLine="535" w:firstLineChars="255"/>
        <w:jc w:val="left"/>
        <w:rPr>
          <w:rFonts w:ascii="宋体" w:hAnsi="宋体"/>
          <w:kern w:val="0"/>
        </w:rPr>
      </w:pPr>
      <w:r>
        <w:rPr>
          <w:rFonts w:ascii="宋体" w:hAnsi="宋体"/>
          <w:kern w:val="0"/>
        </w:rPr>
        <w:t xml:space="preserve">3.2.2  </w:t>
      </w:r>
      <w:r>
        <w:rPr>
          <w:rFonts w:hint="eastAsia" w:ascii="宋体" w:hAnsi="宋体"/>
          <w:kern w:val="0"/>
        </w:rPr>
        <w:t>评分分值计算保留小数点后两位，小数点后第三位“四舍五入”。</w:t>
      </w:r>
    </w:p>
    <w:p>
      <w:pPr>
        <w:autoSpaceDE w:val="0"/>
        <w:autoSpaceDN w:val="0"/>
        <w:adjustRightInd w:val="0"/>
        <w:snapToGrid w:val="0"/>
        <w:spacing w:line="360" w:lineRule="auto"/>
        <w:ind w:left="1" w:firstLine="535" w:firstLineChars="255"/>
        <w:jc w:val="left"/>
        <w:rPr>
          <w:rFonts w:ascii="宋体" w:hAnsi="宋体"/>
          <w:kern w:val="0"/>
        </w:rPr>
      </w:pPr>
      <w:r>
        <w:rPr>
          <w:rFonts w:ascii="宋体" w:hAnsi="宋体"/>
          <w:kern w:val="0"/>
        </w:rPr>
        <w:t xml:space="preserve">3.2.3  </w:t>
      </w:r>
      <w:r>
        <w:rPr>
          <w:rFonts w:hint="eastAsia" w:ascii="宋体" w:hAnsi="宋体"/>
          <w:kern w:val="0"/>
        </w:rPr>
        <w:t>投标人得分</w:t>
      </w:r>
      <w:r>
        <w:rPr>
          <w:rFonts w:ascii="宋体" w:hAnsi="宋体"/>
          <w:kern w:val="0"/>
        </w:rPr>
        <w:t>=A+B</w:t>
      </w:r>
      <w:r>
        <w:rPr>
          <w:rFonts w:hint="eastAsia" w:ascii="宋体" w:hAnsi="宋体"/>
          <w:kern w:val="0"/>
        </w:rPr>
        <w:t>。</w:t>
      </w:r>
    </w:p>
    <w:p>
      <w:pPr>
        <w:autoSpaceDE w:val="0"/>
        <w:autoSpaceDN w:val="0"/>
        <w:adjustRightInd w:val="0"/>
        <w:snapToGrid w:val="0"/>
        <w:spacing w:line="360" w:lineRule="auto"/>
        <w:ind w:left="1" w:firstLine="535" w:firstLineChars="255"/>
        <w:jc w:val="left"/>
        <w:rPr>
          <w:rFonts w:ascii="宋体" w:hAnsi="宋体"/>
          <w:kern w:val="0"/>
        </w:rPr>
      </w:pPr>
      <w:r>
        <w:rPr>
          <w:rFonts w:ascii="宋体" w:hAnsi="宋体"/>
          <w:kern w:val="0"/>
        </w:rPr>
        <w:t xml:space="preserve">3.2.4 </w:t>
      </w:r>
      <w:r>
        <w:rPr>
          <w:rFonts w:hint="eastAsia" w:ascii="宋体" w:hAnsi="宋体"/>
          <w:kern w:val="0"/>
        </w:rPr>
        <w:t>评标委员会发现投标人的报价明显低于其它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竞标，其投标作否决投标处理。</w:t>
      </w:r>
    </w:p>
    <w:p>
      <w:pPr>
        <w:pStyle w:val="5"/>
        <w:spacing w:before="0" w:line="360" w:lineRule="auto"/>
        <w:rPr>
          <w:rFonts w:ascii="宋体" w:eastAsia="宋体" w:cs="Times New Roman"/>
        </w:rPr>
      </w:pPr>
      <w:r>
        <w:rPr>
          <w:rFonts w:ascii="宋体" w:eastAsia="宋体" w:cs="Times New Roman"/>
        </w:rPr>
        <w:t xml:space="preserve">3.3  </w:t>
      </w:r>
      <w:r>
        <w:rPr>
          <w:rFonts w:hint="eastAsia" w:ascii="宋体" w:eastAsia="宋体" w:cs="Times New Roman"/>
        </w:rPr>
        <w:t>投标文件的澄清和补正</w:t>
      </w:r>
      <w:bookmarkEnd w:id="253"/>
      <w:bookmarkEnd w:id="254"/>
      <w:bookmarkEnd w:id="255"/>
      <w:bookmarkEnd w:id="256"/>
      <w:bookmarkEnd w:id="257"/>
      <w:bookmarkEnd w:id="258"/>
      <w:bookmarkEnd w:id="259"/>
      <w:bookmarkEnd w:id="260"/>
    </w:p>
    <w:p>
      <w:pPr>
        <w:autoSpaceDE w:val="0"/>
        <w:autoSpaceDN w:val="0"/>
        <w:adjustRightInd w:val="0"/>
        <w:snapToGrid w:val="0"/>
        <w:spacing w:line="360" w:lineRule="auto"/>
        <w:ind w:firstLine="420"/>
        <w:rPr>
          <w:rFonts w:ascii="宋体" w:hAnsi="宋体"/>
          <w:kern w:val="0"/>
        </w:rPr>
      </w:pPr>
      <w:r>
        <w:rPr>
          <w:rFonts w:ascii="宋体" w:hAnsi="宋体"/>
          <w:kern w:val="0"/>
        </w:rPr>
        <w:t>3.</w:t>
      </w:r>
      <w:r>
        <w:rPr>
          <w:rFonts w:ascii="宋体" w:hAnsi="宋体"/>
          <w:spacing w:val="-1"/>
          <w:kern w:val="0"/>
        </w:rPr>
        <w:t>3</w:t>
      </w:r>
      <w:r>
        <w:rPr>
          <w:rFonts w:ascii="宋体" w:hAnsi="宋体"/>
          <w:kern w:val="0"/>
        </w:rPr>
        <w:t xml:space="preserve">.1 </w:t>
      </w:r>
      <w:r>
        <w:rPr>
          <w:rFonts w:hint="eastAsia" w:ascii="宋体" w:hAnsi="宋体"/>
          <w:kern w:val="0"/>
        </w:rPr>
        <w:t>在评标过程中，</w:t>
      </w:r>
      <w:r>
        <w:rPr>
          <w:rFonts w:hint="eastAsia" w:ascii="宋体" w:hAnsi="宋体"/>
          <w:spacing w:val="1"/>
          <w:kern w:val="0"/>
        </w:rPr>
        <w:t>评</w:t>
      </w:r>
      <w:r>
        <w:rPr>
          <w:rFonts w:hint="eastAsia" w:ascii="宋体" w:hAnsi="宋体"/>
          <w:kern w:val="0"/>
        </w:rPr>
        <w:t>标委员会</w:t>
      </w:r>
      <w:r>
        <w:rPr>
          <w:rFonts w:hint="eastAsia" w:ascii="宋体" w:hAnsi="宋体"/>
          <w:spacing w:val="1"/>
          <w:kern w:val="0"/>
        </w:rPr>
        <w:t>可</w:t>
      </w:r>
      <w:r>
        <w:rPr>
          <w:rFonts w:hint="eastAsia" w:ascii="宋体" w:hAnsi="宋体"/>
          <w:kern w:val="0"/>
        </w:rPr>
        <w:t>以书面形</w:t>
      </w:r>
      <w:r>
        <w:rPr>
          <w:rFonts w:hint="eastAsia" w:ascii="宋体" w:hAnsi="宋体"/>
          <w:spacing w:val="1"/>
          <w:kern w:val="0"/>
        </w:rPr>
        <w:t>式</w:t>
      </w:r>
      <w:r>
        <w:rPr>
          <w:rFonts w:hint="eastAsia" w:ascii="宋体" w:hAnsi="宋体"/>
          <w:kern w:val="0"/>
        </w:rPr>
        <w:t>要求投标</w:t>
      </w:r>
      <w:r>
        <w:rPr>
          <w:rFonts w:hint="eastAsia" w:ascii="宋体" w:hAnsi="宋体"/>
          <w:spacing w:val="1"/>
          <w:kern w:val="0"/>
        </w:rPr>
        <w:t>人</w:t>
      </w:r>
      <w:r>
        <w:rPr>
          <w:rFonts w:hint="eastAsia" w:ascii="宋体" w:hAnsi="宋体"/>
          <w:kern w:val="0"/>
        </w:rPr>
        <w:t>对所提交</w:t>
      </w:r>
      <w:r>
        <w:rPr>
          <w:rFonts w:hint="eastAsia" w:ascii="宋体" w:hAnsi="宋体"/>
          <w:spacing w:val="1"/>
          <w:kern w:val="0"/>
        </w:rPr>
        <w:t>的</w:t>
      </w:r>
      <w:r>
        <w:rPr>
          <w:rFonts w:hint="eastAsia" w:ascii="宋体" w:hAnsi="宋体"/>
          <w:kern w:val="0"/>
        </w:rPr>
        <w:t>投标文件</w:t>
      </w:r>
      <w:r>
        <w:rPr>
          <w:rFonts w:hint="eastAsia" w:ascii="宋体" w:hAnsi="宋体"/>
          <w:spacing w:val="1"/>
          <w:kern w:val="0"/>
        </w:rPr>
        <w:t>中不</w:t>
      </w:r>
      <w:r>
        <w:rPr>
          <w:rFonts w:hint="eastAsia" w:ascii="宋体" w:hAnsi="宋体"/>
          <w:kern w:val="0"/>
        </w:rPr>
        <w:t>明确的内容进行书面澄清或说明</w:t>
      </w:r>
      <w:r>
        <w:rPr>
          <w:rFonts w:hint="eastAsia" w:ascii="宋体" w:hAnsi="宋体"/>
          <w:spacing w:val="-47"/>
          <w:kern w:val="0"/>
        </w:rPr>
        <w:t>，</w:t>
      </w:r>
      <w:r>
        <w:rPr>
          <w:rFonts w:hint="eastAsia" w:ascii="宋体" w:hAnsi="宋体"/>
          <w:kern w:val="0"/>
        </w:rPr>
        <w:t>或者对细微偏差进行补正</w:t>
      </w:r>
      <w:r>
        <w:rPr>
          <w:rFonts w:hint="eastAsia" w:ascii="宋体" w:hAnsi="宋体"/>
          <w:spacing w:val="-47"/>
          <w:kern w:val="0"/>
        </w:rPr>
        <w:t>。</w:t>
      </w:r>
      <w:r>
        <w:rPr>
          <w:rFonts w:hint="eastAsia" w:ascii="宋体" w:hAnsi="宋体"/>
          <w:kern w:val="0"/>
        </w:rPr>
        <w:t>评标委员会不接受投标人主动提出的澄清、说明或补正。</w:t>
      </w:r>
    </w:p>
    <w:p>
      <w:pPr>
        <w:autoSpaceDE w:val="0"/>
        <w:autoSpaceDN w:val="0"/>
        <w:adjustRightInd w:val="0"/>
        <w:snapToGrid w:val="0"/>
        <w:spacing w:line="360" w:lineRule="auto"/>
        <w:ind w:firstLine="420"/>
        <w:jc w:val="left"/>
        <w:rPr>
          <w:rFonts w:ascii="宋体" w:hAnsi="宋体"/>
          <w:kern w:val="0"/>
        </w:rPr>
      </w:pPr>
      <w:r>
        <w:rPr>
          <w:rFonts w:ascii="宋体" w:hAnsi="宋体"/>
          <w:spacing w:val="1"/>
          <w:kern w:val="0"/>
        </w:rPr>
        <w:t>3</w:t>
      </w:r>
      <w:r>
        <w:rPr>
          <w:rFonts w:ascii="宋体" w:hAnsi="宋体"/>
          <w:kern w:val="0"/>
        </w:rPr>
        <w:t xml:space="preserve">.3.2  </w:t>
      </w:r>
      <w:r>
        <w:rPr>
          <w:rFonts w:hint="eastAsia" w:ascii="宋体" w:hAnsi="宋体"/>
          <w:kern w:val="0"/>
        </w:rPr>
        <w:t>澄清</w:t>
      </w:r>
      <w:r>
        <w:rPr>
          <w:rFonts w:hint="eastAsia" w:ascii="宋体" w:hAnsi="宋体"/>
          <w:spacing w:val="-32"/>
          <w:kern w:val="0"/>
        </w:rPr>
        <w:t>、</w:t>
      </w:r>
      <w:r>
        <w:rPr>
          <w:rFonts w:hint="eastAsia" w:ascii="宋体" w:hAnsi="宋体"/>
          <w:kern w:val="0"/>
        </w:rPr>
        <w:t>说明和补正不得改变投标文件的实质性内</w:t>
      </w:r>
      <w:r>
        <w:rPr>
          <w:rFonts w:hint="eastAsia" w:ascii="宋体" w:hAnsi="宋体"/>
          <w:spacing w:val="-31"/>
          <w:kern w:val="0"/>
        </w:rPr>
        <w:t>容</w:t>
      </w:r>
      <w:r>
        <w:rPr>
          <w:rFonts w:hint="eastAsia" w:ascii="宋体" w:hAnsi="宋体"/>
          <w:kern w:val="0"/>
        </w:rPr>
        <w:t>（算术性错误修正的除外</w:t>
      </w:r>
      <w:r>
        <w:rPr>
          <w:rFonts w:hint="eastAsia" w:ascii="宋体" w:hAnsi="宋体"/>
          <w:spacing w:val="-106"/>
          <w:kern w:val="0"/>
        </w:rPr>
        <w:t>）</w:t>
      </w:r>
      <w:r>
        <w:rPr>
          <w:rFonts w:hint="eastAsia" w:ascii="宋体" w:hAnsi="宋体"/>
          <w:spacing w:val="-31"/>
          <w:kern w:val="0"/>
        </w:rPr>
        <w:t>。投</w:t>
      </w:r>
      <w:r>
        <w:rPr>
          <w:rFonts w:hint="eastAsia" w:ascii="宋体" w:hAnsi="宋体"/>
          <w:kern w:val="0"/>
        </w:rPr>
        <w:t>标人的书面澄清、说明和补正属于投标文件的组成部分。</w:t>
      </w:r>
    </w:p>
    <w:p>
      <w:pPr>
        <w:autoSpaceDE w:val="0"/>
        <w:autoSpaceDN w:val="0"/>
        <w:adjustRightInd w:val="0"/>
        <w:snapToGrid w:val="0"/>
        <w:spacing w:line="360" w:lineRule="auto"/>
        <w:ind w:firstLine="420"/>
        <w:jc w:val="left"/>
        <w:rPr>
          <w:rFonts w:ascii="宋体" w:hAnsi="宋体"/>
          <w:kern w:val="0"/>
        </w:rPr>
      </w:pPr>
      <w:r>
        <w:rPr>
          <w:rFonts w:ascii="宋体" w:hAnsi="宋体"/>
          <w:spacing w:val="1"/>
          <w:kern w:val="0"/>
        </w:rPr>
        <w:t>3.</w:t>
      </w:r>
      <w:r>
        <w:rPr>
          <w:rFonts w:ascii="宋体" w:hAnsi="宋体"/>
          <w:spacing w:val="-1"/>
          <w:kern w:val="0"/>
        </w:rPr>
        <w:t>3</w:t>
      </w:r>
      <w:r>
        <w:rPr>
          <w:rFonts w:ascii="宋体" w:hAnsi="宋体"/>
          <w:kern w:val="0"/>
        </w:rPr>
        <w:t xml:space="preserve">.3 </w:t>
      </w:r>
      <w:r>
        <w:rPr>
          <w:rFonts w:hint="eastAsia" w:ascii="宋体" w:hAnsi="宋体"/>
          <w:kern w:val="0"/>
        </w:rPr>
        <w:t>评标委员会对投</w:t>
      </w:r>
      <w:r>
        <w:rPr>
          <w:rFonts w:hint="eastAsia" w:ascii="宋体" w:hAnsi="宋体"/>
          <w:spacing w:val="1"/>
          <w:kern w:val="0"/>
        </w:rPr>
        <w:t>标</w:t>
      </w:r>
      <w:r>
        <w:rPr>
          <w:rFonts w:hint="eastAsia" w:ascii="宋体" w:hAnsi="宋体"/>
          <w:kern w:val="0"/>
        </w:rPr>
        <w:t>人提交的</w:t>
      </w:r>
      <w:r>
        <w:rPr>
          <w:rFonts w:hint="eastAsia" w:ascii="宋体" w:hAnsi="宋体"/>
          <w:spacing w:val="1"/>
          <w:kern w:val="0"/>
        </w:rPr>
        <w:t>澄</w:t>
      </w:r>
      <w:r>
        <w:rPr>
          <w:rFonts w:hint="eastAsia" w:ascii="宋体" w:hAnsi="宋体"/>
          <w:kern w:val="0"/>
        </w:rPr>
        <w:t>清、说明</w:t>
      </w:r>
      <w:r>
        <w:rPr>
          <w:rFonts w:hint="eastAsia" w:ascii="宋体" w:hAnsi="宋体"/>
          <w:spacing w:val="1"/>
          <w:kern w:val="0"/>
        </w:rPr>
        <w:t>或</w:t>
      </w:r>
      <w:r>
        <w:rPr>
          <w:rFonts w:hint="eastAsia" w:ascii="宋体" w:hAnsi="宋体"/>
          <w:kern w:val="0"/>
        </w:rPr>
        <w:t>补正有疑</w:t>
      </w:r>
      <w:r>
        <w:rPr>
          <w:rFonts w:hint="eastAsia" w:ascii="宋体" w:hAnsi="宋体"/>
          <w:spacing w:val="1"/>
          <w:kern w:val="0"/>
        </w:rPr>
        <w:t>问</w:t>
      </w:r>
      <w:r>
        <w:rPr>
          <w:rFonts w:hint="eastAsia" w:ascii="宋体" w:hAnsi="宋体"/>
          <w:kern w:val="0"/>
        </w:rPr>
        <w:t>的，可以</w:t>
      </w:r>
      <w:r>
        <w:rPr>
          <w:rFonts w:hint="eastAsia" w:ascii="宋体" w:hAnsi="宋体"/>
          <w:spacing w:val="1"/>
          <w:kern w:val="0"/>
        </w:rPr>
        <w:t>要</w:t>
      </w:r>
      <w:r>
        <w:rPr>
          <w:rFonts w:hint="eastAsia" w:ascii="宋体" w:hAnsi="宋体"/>
          <w:kern w:val="0"/>
        </w:rPr>
        <w:t>求投标人</w:t>
      </w:r>
      <w:r>
        <w:rPr>
          <w:rFonts w:hint="eastAsia" w:ascii="宋体" w:hAnsi="宋体"/>
          <w:spacing w:val="1"/>
          <w:kern w:val="0"/>
        </w:rPr>
        <w:t>进一</w:t>
      </w:r>
      <w:r>
        <w:rPr>
          <w:rFonts w:hint="eastAsia" w:ascii="宋体" w:hAnsi="宋体"/>
          <w:kern w:val="0"/>
        </w:rPr>
        <w:t>步澄清、说明或补正，直至满足评标委员会的要求。</w:t>
      </w:r>
    </w:p>
    <w:p>
      <w:pPr>
        <w:pStyle w:val="5"/>
        <w:spacing w:before="0" w:line="360" w:lineRule="auto"/>
        <w:rPr>
          <w:rFonts w:ascii="宋体" w:eastAsia="宋体" w:cs="Times New Roman"/>
        </w:rPr>
      </w:pPr>
      <w:bookmarkStart w:id="261" w:name="_Toc505071880"/>
      <w:bookmarkStart w:id="262" w:name="_Toc224103381"/>
      <w:bookmarkStart w:id="263" w:name="_Toc235631526"/>
      <w:bookmarkStart w:id="264" w:name="_Toc248136936"/>
      <w:bookmarkStart w:id="265" w:name="_Toc326055580"/>
      <w:bookmarkStart w:id="266" w:name="_Toc523907264"/>
      <w:bookmarkStart w:id="267" w:name="_Toc505071303"/>
      <w:bookmarkStart w:id="268" w:name="_Toc200513195"/>
      <w:r>
        <w:rPr>
          <w:rFonts w:ascii="宋体" w:eastAsia="宋体" w:cs="Times New Roman"/>
        </w:rPr>
        <w:t xml:space="preserve">3.4  </w:t>
      </w:r>
      <w:r>
        <w:rPr>
          <w:rFonts w:hint="eastAsia" w:ascii="宋体" w:eastAsia="宋体" w:cs="Times New Roman"/>
        </w:rPr>
        <w:t>评标结果</w:t>
      </w:r>
      <w:bookmarkEnd w:id="261"/>
      <w:bookmarkEnd w:id="262"/>
      <w:bookmarkEnd w:id="263"/>
      <w:bookmarkEnd w:id="264"/>
      <w:bookmarkEnd w:id="265"/>
      <w:bookmarkEnd w:id="266"/>
      <w:bookmarkEnd w:id="267"/>
      <w:bookmarkEnd w:id="268"/>
    </w:p>
    <w:p>
      <w:pPr>
        <w:autoSpaceDE w:val="0"/>
        <w:autoSpaceDN w:val="0"/>
        <w:adjustRightInd w:val="0"/>
        <w:snapToGrid w:val="0"/>
        <w:spacing w:line="360" w:lineRule="auto"/>
        <w:ind w:firstLine="420" w:firstLineChars="200"/>
        <w:jc w:val="left"/>
        <w:rPr>
          <w:rFonts w:ascii="宋体" w:hAnsi="宋体"/>
          <w:kern w:val="0"/>
        </w:rPr>
      </w:pPr>
      <w:r>
        <w:rPr>
          <w:rFonts w:ascii="宋体" w:hAnsi="宋体"/>
          <w:kern w:val="0"/>
        </w:rPr>
        <w:t xml:space="preserve">3.4.1  </w:t>
      </w:r>
      <w:r>
        <w:rPr>
          <w:rFonts w:hint="eastAsia" w:ascii="宋体" w:hAnsi="宋体"/>
          <w:kern w:val="0"/>
        </w:rPr>
        <w:t>除第二章“投标人须知”前附表授权直接确定中标人外，评标委员会按照得分由高到低的顺序推荐中标候选人。</w:t>
      </w:r>
    </w:p>
    <w:p>
      <w:pPr>
        <w:autoSpaceDE w:val="0"/>
        <w:autoSpaceDN w:val="0"/>
        <w:adjustRightInd w:val="0"/>
        <w:snapToGrid w:val="0"/>
        <w:spacing w:line="360" w:lineRule="auto"/>
        <w:ind w:firstLine="315" w:firstLineChars="150"/>
        <w:jc w:val="left"/>
        <w:rPr>
          <w:rFonts w:ascii="宋体" w:hAnsi="宋体"/>
          <w:kern w:val="0"/>
        </w:rPr>
      </w:pPr>
      <w:r>
        <w:rPr>
          <w:rFonts w:hint="eastAsia" w:ascii="宋体" w:hAnsi="宋体"/>
          <w:kern w:val="0"/>
        </w:rPr>
        <w:t xml:space="preserve"> 3.4.2  评标委员会完成评标后，应当向招标人提交书面评标报告。</w:t>
      </w:r>
    </w:p>
    <w:p>
      <w:pPr>
        <w:autoSpaceDE w:val="0"/>
        <w:autoSpaceDN w:val="0"/>
        <w:adjustRightInd w:val="0"/>
        <w:snapToGrid w:val="0"/>
        <w:spacing w:line="360" w:lineRule="auto"/>
        <w:jc w:val="left"/>
        <w:rPr>
          <w:rFonts w:ascii="宋体" w:hAnsi="宋体"/>
          <w:b/>
          <w:sz w:val="30"/>
          <w:szCs w:val="30"/>
        </w:rPr>
      </w:pPr>
      <w:r>
        <w:rPr>
          <w:rFonts w:ascii="宋体" w:hAnsi="宋体"/>
          <w:szCs w:val="20"/>
        </w:rPr>
        <w:br w:type="page"/>
      </w:r>
      <w:r>
        <w:rPr>
          <w:rFonts w:hint="eastAsia" w:ascii="宋体" w:hAnsi="宋体"/>
          <w:b/>
          <w:sz w:val="30"/>
          <w:szCs w:val="30"/>
        </w:rPr>
        <w:t>附件A：否决投标条件</w:t>
      </w:r>
    </w:p>
    <w:p>
      <w:pPr>
        <w:pStyle w:val="38"/>
        <w:spacing w:line="360" w:lineRule="auto"/>
        <w:rPr>
          <w:rFonts w:ascii="宋体" w:hAnsi="宋体" w:eastAsia="宋体" w:cs="Times New Roman"/>
          <w:sz w:val="30"/>
          <w:szCs w:val="30"/>
          <w:lang w:eastAsia="zh-CN"/>
        </w:rPr>
      </w:pPr>
      <w:r>
        <w:rPr>
          <w:rFonts w:hint="eastAsia" w:ascii="宋体" w:hAnsi="宋体" w:eastAsia="宋体" w:cs="Times New Roman"/>
          <w:sz w:val="30"/>
          <w:szCs w:val="30"/>
          <w:lang w:eastAsia="zh-CN"/>
        </w:rPr>
        <w:t>附件</w:t>
      </w:r>
      <w:r>
        <w:rPr>
          <w:rFonts w:ascii="宋体" w:hAnsi="宋体" w:eastAsia="宋体" w:cs="Times New Roman"/>
          <w:sz w:val="30"/>
          <w:szCs w:val="30"/>
          <w:lang w:eastAsia="zh-CN"/>
        </w:rPr>
        <w:t>A：</w:t>
      </w:r>
      <w:r>
        <w:rPr>
          <w:rFonts w:hint="eastAsia" w:ascii="宋体" w:hAnsi="宋体" w:eastAsia="宋体" w:cs="Times New Roman"/>
          <w:kern w:val="10"/>
          <w:sz w:val="30"/>
          <w:szCs w:val="30"/>
          <w:lang w:eastAsia="zh-CN"/>
        </w:rPr>
        <w:t>综合评估法</w:t>
      </w:r>
      <w:r>
        <w:rPr>
          <w:rFonts w:hint="eastAsia" w:ascii="宋体" w:hAnsi="宋体" w:eastAsia="宋体" w:cs="Times New Roman"/>
          <w:sz w:val="30"/>
          <w:szCs w:val="30"/>
          <w:lang w:eastAsia="zh-CN"/>
        </w:rPr>
        <w:t>否决投标情况一览表</w:t>
      </w:r>
    </w:p>
    <w:p>
      <w:pPr>
        <w:pStyle w:val="38"/>
        <w:spacing w:line="360" w:lineRule="auto"/>
        <w:jc w:val="both"/>
        <w:rPr>
          <w:rFonts w:ascii="宋体" w:hAnsi="宋体" w:eastAsia="宋体" w:cs="Times New Roman"/>
          <w:szCs w:val="21"/>
          <w:lang w:eastAsia="zh-CN"/>
        </w:rPr>
      </w:pPr>
      <w:r>
        <w:rPr>
          <w:rFonts w:hint="eastAsia" w:ascii="宋体" w:hAnsi="宋体" w:eastAsia="宋体" w:cs="Times New Roman"/>
          <w:szCs w:val="21"/>
          <w:lang w:eastAsia="zh-CN"/>
        </w:rPr>
        <w:t>一览表否决投标条件之外的评标委员会不得判为重大偏差。</w:t>
      </w:r>
    </w:p>
    <w:tbl>
      <w:tblPr>
        <w:tblStyle w:val="52"/>
        <w:tblW w:w="9479" w:type="dxa"/>
        <w:tblInd w:w="0" w:type="dxa"/>
        <w:tblLayout w:type="fixed"/>
        <w:tblCellMar>
          <w:top w:w="0" w:type="dxa"/>
          <w:left w:w="108" w:type="dxa"/>
          <w:bottom w:w="0" w:type="dxa"/>
          <w:right w:w="108" w:type="dxa"/>
        </w:tblCellMar>
      </w:tblPr>
      <w:tblGrid>
        <w:gridCol w:w="1526"/>
        <w:gridCol w:w="1233"/>
        <w:gridCol w:w="6720"/>
      </w:tblGrid>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kern w:val="0"/>
              </w:rPr>
            </w:pPr>
            <w:r>
              <w:rPr>
                <w:rFonts w:hint="eastAsia" w:ascii="宋体" w:hAnsi="宋体"/>
                <w:kern w:val="0"/>
              </w:rPr>
              <w:t>招标文件章节号</w:t>
            </w:r>
          </w:p>
        </w:tc>
        <w:tc>
          <w:tcPr>
            <w:tcW w:w="1233"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kern w:val="0"/>
              </w:rPr>
            </w:pPr>
            <w:r>
              <w:rPr>
                <w:rFonts w:hint="eastAsia" w:ascii="宋体" w:hAnsi="宋体"/>
                <w:kern w:val="0"/>
              </w:rPr>
              <w:t>条款名称</w:t>
            </w:r>
          </w:p>
        </w:tc>
        <w:tc>
          <w:tcPr>
            <w:tcW w:w="6720" w:type="dxa"/>
            <w:tcBorders>
              <w:top w:val="single" w:color="000000" w:sz="4" w:space="0"/>
              <w:left w:val="nil"/>
              <w:bottom w:val="single" w:color="000000" w:sz="4" w:space="0"/>
              <w:right w:val="single" w:color="000000" w:sz="4" w:space="0"/>
            </w:tcBorders>
            <w:vAlign w:val="center"/>
          </w:tcPr>
          <w:p>
            <w:pPr>
              <w:spacing w:line="360" w:lineRule="auto"/>
              <w:ind w:firstLine="1381" w:firstLineChars="658"/>
              <w:jc w:val="center"/>
              <w:rPr>
                <w:rFonts w:ascii="宋体" w:hAnsi="宋体"/>
                <w:kern w:val="0"/>
              </w:rPr>
            </w:pPr>
            <w:r>
              <w:rPr>
                <w:rFonts w:hint="eastAsia" w:ascii="宋体" w:hAnsi="宋体"/>
                <w:kern w:val="0"/>
              </w:rPr>
              <w:t>否决投标条件</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kern w:val="0"/>
              </w:rPr>
            </w:pPr>
            <w:r>
              <w:rPr>
                <w:rFonts w:hint="eastAsia" w:ascii="宋体" w:hAnsi="宋体"/>
                <w:kern w:val="0"/>
              </w:rPr>
              <w:t>第二章</w:t>
            </w:r>
            <w:r>
              <w:rPr>
                <w:rFonts w:ascii="宋体" w:hAnsi="宋体"/>
                <w:kern w:val="0"/>
              </w:rPr>
              <w:t>3.</w:t>
            </w:r>
            <w:r>
              <w:rPr>
                <w:rFonts w:hint="eastAsia" w:ascii="宋体" w:hAnsi="宋体"/>
                <w:kern w:val="0"/>
              </w:rPr>
              <w:t>2</w:t>
            </w:r>
          </w:p>
        </w:tc>
        <w:tc>
          <w:tcPr>
            <w:tcW w:w="1233"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kern w:val="0"/>
              </w:rPr>
            </w:pPr>
            <w:r>
              <w:rPr>
                <w:rFonts w:hint="eastAsia" w:ascii="宋体" w:hAnsi="宋体"/>
                <w:kern w:val="0"/>
              </w:rPr>
              <w:t>投标报价</w:t>
            </w:r>
          </w:p>
        </w:tc>
        <w:tc>
          <w:tcPr>
            <w:tcW w:w="6720" w:type="dxa"/>
            <w:tcBorders>
              <w:top w:val="single" w:color="000000" w:sz="4" w:space="0"/>
              <w:left w:val="nil"/>
              <w:bottom w:val="single" w:color="000000" w:sz="4" w:space="0"/>
              <w:right w:val="single" w:color="000000" w:sz="4" w:space="0"/>
            </w:tcBorders>
            <w:vAlign w:val="center"/>
          </w:tcPr>
          <w:p>
            <w:pPr>
              <w:ind w:firstLine="420" w:firstLineChars="200"/>
              <w:rPr>
                <w:rFonts w:ascii="宋体" w:hAnsi="宋体"/>
                <w:kern w:val="0"/>
              </w:rPr>
            </w:pPr>
            <w:r>
              <w:rPr>
                <w:rFonts w:hint="eastAsia" w:ascii="宋体" w:hAnsi="宋体"/>
                <w:kern w:val="0"/>
              </w:rPr>
              <w:t>投标人的报价不得超过招标人发布的最高限价，否则按否决投标处理。</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kern w:val="0"/>
              </w:rPr>
            </w:pPr>
            <w:r>
              <w:rPr>
                <w:rFonts w:hint="eastAsia" w:ascii="宋体" w:hAnsi="宋体"/>
                <w:kern w:val="0"/>
              </w:rPr>
              <w:t>第二章</w:t>
            </w:r>
            <w:r>
              <w:rPr>
                <w:rFonts w:ascii="宋体" w:hAnsi="宋体"/>
                <w:kern w:val="0"/>
              </w:rPr>
              <w:t>3.4.1</w:t>
            </w:r>
          </w:p>
        </w:tc>
        <w:tc>
          <w:tcPr>
            <w:tcW w:w="1233" w:type="dxa"/>
            <w:tcBorders>
              <w:top w:val="single" w:color="000000" w:sz="4" w:space="0"/>
              <w:left w:val="nil"/>
              <w:bottom w:val="single" w:color="000000" w:sz="4" w:space="0"/>
              <w:right w:val="single" w:color="000000" w:sz="4" w:space="0"/>
            </w:tcBorders>
            <w:vAlign w:val="center"/>
          </w:tcPr>
          <w:p>
            <w:pPr>
              <w:spacing w:line="360" w:lineRule="auto"/>
              <w:jc w:val="left"/>
              <w:rPr>
                <w:rFonts w:ascii="宋体" w:hAnsi="宋体"/>
                <w:kern w:val="0"/>
              </w:rPr>
            </w:pPr>
            <w:r>
              <w:rPr>
                <w:rFonts w:hint="eastAsia" w:ascii="宋体" w:hAnsi="宋体"/>
                <w:kern w:val="0"/>
              </w:rPr>
              <w:t>投标保证金</w:t>
            </w:r>
          </w:p>
        </w:tc>
        <w:tc>
          <w:tcPr>
            <w:tcW w:w="6720" w:type="dxa"/>
            <w:tcBorders>
              <w:top w:val="single" w:color="000000" w:sz="4" w:space="0"/>
              <w:left w:val="nil"/>
              <w:bottom w:val="single" w:color="000000" w:sz="4" w:space="0"/>
              <w:right w:val="single" w:color="000000" w:sz="4" w:space="0"/>
            </w:tcBorders>
          </w:tcPr>
          <w:p>
            <w:pPr>
              <w:ind w:firstLine="420" w:firstLineChars="200"/>
              <w:rPr>
                <w:rFonts w:ascii="宋体" w:hAnsi="宋体"/>
                <w:kern w:val="0"/>
              </w:rPr>
            </w:pPr>
            <w:r>
              <w:rPr>
                <w:rFonts w:hint="eastAsia" w:ascii="宋体" w:hAnsi="宋体"/>
                <w:kern w:val="0"/>
              </w:rPr>
              <w:t>投标人在递交投标文件的同时，应按投标人须知前附表规定的金额、担保形式和第六章“投标文件格式”规定的投标保证金格式递交投标保证金，并作为其投标文件的组成部分。</w:t>
            </w:r>
          </w:p>
        </w:tc>
      </w:tr>
      <w:tr>
        <w:tblPrEx>
          <w:tblCellMar>
            <w:top w:w="0" w:type="dxa"/>
            <w:left w:w="108" w:type="dxa"/>
            <w:bottom w:w="0" w:type="dxa"/>
            <w:right w:w="108" w:type="dxa"/>
          </w:tblCellMar>
        </w:tblPrEx>
        <w:tc>
          <w:tcPr>
            <w:tcW w:w="1526" w:type="dxa"/>
            <w:vMerge w:val="restart"/>
            <w:tcBorders>
              <w:top w:val="nil"/>
              <w:left w:val="single" w:color="000000" w:sz="4" w:space="0"/>
              <w:bottom w:val="single" w:color="000000" w:sz="4" w:space="0"/>
              <w:right w:val="single" w:color="000000" w:sz="4" w:space="0"/>
            </w:tcBorders>
            <w:vAlign w:val="center"/>
          </w:tcPr>
          <w:p>
            <w:pPr>
              <w:spacing w:line="360" w:lineRule="auto"/>
              <w:rPr>
                <w:rFonts w:ascii="宋体" w:hAnsi="宋体"/>
                <w:kern w:val="0"/>
              </w:rPr>
            </w:pPr>
            <w:r>
              <w:rPr>
                <w:rFonts w:hint="eastAsia" w:ascii="宋体" w:hAnsi="宋体"/>
                <w:kern w:val="0"/>
              </w:rPr>
              <w:t>第三章3.1</w:t>
            </w:r>
          </w:p>
        </w:tc>
        <w:tc>
          <w:tcPr>
            <w:tcW w:w="1233" w:type="dxa"/>
            <w:vMerge w:val="restart"/>
            <w:tcBorders>
              <w:top w:val="nil"/>
              <w:left w:val="nil"/>
              <w:bottom w:val="single" w:color="000000" w:sz="4" w:space="0"/>
              <w:right w:val="single" w:color="000000" w:sz="4" w:space="0"/>
            </w:tcBorders>
            <w:vAlign w:val="center"/>
          </w:tcPr>
          <w:p>
            <w:pPr>
              <w:spacing w:line="360" w:lineRule="auto"/>
              <w:rPr>
                <w:rFonts w:ascii="宋体" w:hAnsi="宋体"/>
                <w:kern w:val="0"/>
              </w:rPr>
            </w:pPr>
            <w:r>
              <w:rPr>
                <w:rFonts w:hint="eastAsia" w:ascii="宋体" w:hAnsi="宋体"/>
                <w:kern w:val="0"/>
              </w:rPr>
              <w:t>初步评审</w:t>
            </w:r>
          </w:p>
        </w:tc>
        <w:tc>
          <w:tcPr>
            <w:tcW w:w="6720" w:type="dxa"/>
            <w:tcBorders>
              <w:top w:val="single" w:color="000000" w:sz="4" w:space="0"/>
              <w:left w:val="nil"/>
              <w:bottom w:val="single" w:color="000000" w:sz="4" w:space="0"/>
              <w:right w:val="single" w:color="000000" w:sz="4" w:space="0"/>
            </w:tcBorders>
          </w:tcPr>
          <w:p>
            <w:pPr>
              <w:ind w:firstLine="420" w:firstLineChars="200"/>
              <w:rPr>
                <w:rFonts w:ascii="宋体" w:hAnsi="宋体"/>
                <w:kern w:val="0"/>
              </w:rPr>
            </w:pPr>
            <w:r>
              <w:rPr>
                <w:rFonts w:hint="eastAsia" w:ascii="宋体" w:hAnsi="宋体"/>
                <w:kern w:val="0"/>
              </w:rPr>
              <w:t>评标委员会依据本章第</w:t>
            </w:r>
            <w:r>
              <w:rPr>
                <w:rFonts w:ascii="宋体" w:hAnsi="宋体"/>
                <w:kern w:val="0"/>
              </w:rPr>
              <w:t xml:space="preserve"> 2.1.1至2.1.3 </w:t>
            </w:r>
            <w:r>
              <w:rPr>
                <w:rFonts w:hint="eastAsia" w:ascii="宋体" w:hAnsi="宋体"/>
                <w:kern w:val="0"/>
              </w:rPr>
              <w:t>款规定的标准对投标文件进行初步评审。有一项不符合评审标准的，作否决投标处理。</w:t>
            </w:r>
          </w:p>
        </w:tc>
      </w:tr>
      <w:tr>
        <w:tblPrEx>
          <w:tblCellMar>
            <w:top w:w="0" w:type="dxa"/>
            <w:left w:w="108" w:type="dxa"/>
            <w:bottom w:w="0" w:type="dxa"/>
            <w:right w:w="108" w:type="dxa"/>
          </w:tblCellMar>
        </w:tblPrEx>
        <w:tc>
          <w:tcPr>
            <w:tcW w:w="1526" w:type="dxa"/>
            <w:vMerge w:val="continue"/>
            <w:tcBorders>
              <w:top w:val="nil"/>
              <w:left w:val="single" w:color="000000" w:sz="4" w:space="0"/>
              <w:bottom w:val="single" w:color="000000" w:sz="4" w:space="0"/>
              <w:right w:val="single" w:color="000000" w:sz="4" w:space="0"/>
            </w:tcBorders>
            <w:vAlign w:val="center"/>
          </w:tcPr>
          <w:p>
            <w:pPr>
              <w:widowControl/>
              <w:spacing w:line="360" w:lineRule="auto"/>
              <w:ind w:firstLine="1381" w:firstLineChars="658"/>
              <w:jc w:val="left"/>
              <w:rPr>
                <w:rFonts w:ascii="宋体" w:hAnsi="宋体"/>
                <w:kern w:val="0"/>
              </w:rPr>
            </w:pPr>
          </w:p>
        </w:tc>
        <w:tc>
          <w:tcPr>
            <w:tcW w:w="1233" w:type="dxa"/>
            <w:vMerge w:val="continue"/>
            <w:tcBorders>
              <w:top w:val="nil"/>
              <w:left w:val="nil"/>
              <w:bottom w:val="single" w:color="000000" w:sz="4" w:space="0"/>
              <w:right w:val="single" w:color="000000" w:sz="4" w:space="0"/>
            </w:tcBorders>
            <w:vAlign w:val="center"/>
          </w:tcPr>
          <w:p>
            <w:pPr>
              <w:widowControl/>
              <w:spacing w:line="360" w:lineRule="auto"/>
              <w:ind w:firstLine="1381" w:firstLineChars="658"/>
              <w:jc w:val="left"/>
              <w:rPr>
                <w:rFonts w:ascii="宋体" w:hAnsi="宋体"/>
                <w:kern w:val="0"/>
              </w:rPr>
            </w:pPr>
          </w:p>
        </w:tc>
        <w:tc>
          <w:tcPr>
            <w:tcW w:w="6720" w:type="dxa"/>
            <w:tcBorders>
              <w:top w:val="single" w:color="000000" w:sz="4" w:space="0"/>
              <w:left w:val="nil"/>
              <w:bottom w:val="single" w:color="000000" w:sz="4" w:space="0"/>
              <w:right w:val="single" w:color="000000" w:sz="4" w:space="0"/>
            </w:tcBorders>
          </w:tcPr>
          <w:p>
            <w:pPr>
              <w:autoSpaceDE w:val="0"/>
              <w:autoSpaceDN w:val="0"/>
              <w:adjustRightInd w:val="0"/>
              <w:snapToGrid w:val="0"/>
              <w:ind w:firstLine="420" w:firstLineChars="200"/>
              <w:jc w:val="left"/>
              <w:rPr>
                <w:rFonts w:ascii="宋体" w:hAnsi="宋体"/>
                <w:kern w:val="0"/>
              </w:rPr>
            </w:pPr>
            <w:r>
              <w:rPr>
                <w:rFonts w:hint="eastAsia" w:ascii="宋体" w:hAnsi="宋体"/>
                <w:kern w:val="0"/>
              </w:rPr>
              <w:t>投标人有以下情形之一的，其投标作否决投标处理：</w:t>
            </w:r>
          </w:p>
          <w:p>
            <w:pPr>
              <w:autoSpaceDE w:val="0"/>
              <w:autoSpaceDN w:val="0"/>
              <w:adjustRightInd w:val="0"/>
              <w:snapToGrid w:val="0"/>
              <w:jc w:val="left"/>
              <w:rPr>
                <w:rFonts w:ascii="宋体" w:hAnsi="宋体"/>
                <w:kern w:val="0"/>
              </w:rPr>
            </w:pPr>
            <w:r>
              <w:rPr>
                <w:rFonts w:hint="eastAsia" w:ascii="宋体" w:hAnsi="宋体"/>
                <w:kern w:val="0"/>
              </w:rPr>
              <w:t>1</w:t>
            </w:r>
            <w:r>
              <w:rPr>
                <w:rFonts w:ascii="宋体" w:hAnsi="宋体"/>
                <w:kern w:val="0"/>
              </w:rPr>
              <w:t xml:space="preserve">.第二章“投标人须知”总则第 1.4.1 </w:t>
            </w:r>
            <w:r>
              <w:rPr>
                <w:rFonts w:hint="eastAsia" w:ascii="宋体" w:hAnsi="宋体"/>
                <w:kern w:val="0"/>
              </w:rPr>
              <w:t>项规定的任何一种情形的；</w:t>
            </w:r>
          </w:p>
          <w:p>
            <w:pPr>
              <w:autoSpaceDE w:val="0"/>
              <w:autoSpaceDN w:val="0"/>
              <w:adjustRightInd w:val="0"/>
              <w:snapToGrid w:val="0"/>
              <w:jc w:val="left"/>
              <w:rPr>
                <w:rFonts w:ascii="宋体" w:hAnsi="宋体"/>
                <w:kern w:val="0"/>
              </w:rPr>
            </w:pPr>
            <w:r>
              <w:rPr>
                <w:rFonts w:hint="eastAsia" w:ascii="宋体" w:hAnsi="宋体"/>
                <w:kern w:val="0"/>
              </w:rPr>
              <w:t>2</w:t>
            </w:r>
            <w:r>
              <w:rPr>
                <w:rFonts w:ascii="宋体" w:hAnsi="宋体"/>
                <w:kern w:val="0"/>
              </w:rPr>
              <w:t>.串通投标或弄虚作假或有其它违法行为的；</w:t>
            </w:r>
          </w:p>
          <w:p>
            <w:pPr>
              <w:rPr>
                <w:rFonts w:ascii="宋体" w:hAnsi="宋体"/>
                <w:kern w:val="0"/>
              </w:rPr>
            </w:pPr>
            <w:r>
              <w:rPr>
                <w:rFonts w:hint="eastAsia" w:ascii="宋体" w:hAnsi="宋体"/>
                <w:kern w:val="0"/>
              </w:rPr>
              <w:t>3</w:t>
            </w:r>
            <w:r>
              <w:rPr>
                <w:rFonts w:ascii="宋体" w:hAnsi="宋体"/>
                <w:kern w:val="0"/>
              </w:rPr>
              <w:t>.不按评标委员会要求澄清、说明或补正的；</w:t>
            </w:r>
          </w:p>
        </w:tc>
      </w:tr>
      <w:tr>
        <w:tblPrEx>
          <w:tblCellMar>
            <w:top w:w="0" w:type="dxa"/>
            <w:left w:w="108" w:type="dxa"/>
            <w:bottom w:w="0" w:type="dxa"/>
            <w:right w:w="108" w:type="dxa"/>
          </w:tblCellMar>
        </w:tblPrEx>
        <w:trPr>
          <w:trHeight w:val="854" w:hRule="atLeast"/>
        </w:trPr>
        <w:tc>
          <w:tcPr>
            <w:tcW w:w="1526" w:type="dxa"/>
            <w:vMerge w:val="continue"/>
            <w:tcBorders>
              <w:top w:val="nil"/>
              <w:left w:val="single" w:color="000000" w:sz="4" w:space="0"/>
              <w:bottom w:val="single" w:color="000000" w:sz="4" w:space="0"/>
              <w:right w:val="single" w:color="000000" w:sz="4" w:space="0"/>
            </w:tcBorders>
            <w:vAlign w:val="center"/>
          </w:tcPr>
          <w:p>
            <w:pPr>
              <w:widowControl/>
              <w:spacing w:line="360" w:lineRule="auto"/>
              <w:ind w:firstLine="1381" w:firstLineChars="658"/>
              <w:jc w:val="left"/>
              <w:rPr>
                <w:rFonts w:ascii="宋体" w:hAnsi="宋体"/>
                <w:kern w:val="0"/>
              </w:rPr>
            </w:pPr>
          </w:p>
        </w:tc>
        <w:tc>
          <w:tcPr>
            <w:tcW w:w="1233" w:type="dxa"/>
            <w:vMerge w:val="continue"/>
            <w:tcBorders>
              <w:top w:val="nil"/>
              <w:left w:val="nil"/>
              <w:bottom w:val="single" w:color="000000" w:sz="4" w:space="0"/>
              <w:right w:val="single" w:color="000000" w:sz="4" w:space="0"/>
            </w:tcBorders>
            <w:vAlign w:val="center"/>
          </w:tcPr>
          <w:p>
            <w:pPr>
              <w:widowControl/>
              <w:spacing w:line="360" w:lineRule="auto"/>
              <w:ind w:firstLine="1381" w:firstLineChars="658"/>
              <w:jc w:val="left"/>
              <w:rPr>
                <w:rFonts w:ascii="宋体" w:hAnsi="宋体"/>
                <w:kern w:val="0"/>
              </w:rPr>
            </w:pPr>
          </w:p>
        </w:tc>
        <w:tc>
          <w:tcPr>
            <w:tcW w:w="6720" w:type="dxa"/>
            <w:tcBorders>
              <w:top w:val="single" w:color="000000" w:sz="4" w:space="0"/>
              <w:left w:val="nil"/>
              <w:bottom w:val="single" w:color="000000" w:sz="4" w:space="0"/>
              <w:right w:val="single" w:color="000000" w:sz="4" w:space="0"/>
            </w:tcBorders>
          </w:tcPr>
          <w:p>
            <w:pPr>
              <w:ind w:firstLine="420" w:firstLineChars="200"/>
              <w:rPr>
                <w:rFonts w:ascii="宋体" w:hAnsi="宋体"/>
                <w:kern w:val="0"/>
              </w:rPr>
            </w:pPr>
            <w:r>
              <w:rPr>
                <w:rFonts w:hint="eastAsia" w:ascii="宋体" w:hAnsi="宋体"/>
                <w:kern w:val="0"/>
              </w:rPr>
              <w:t>投标报价有算术错误的，评标委员会按招标文件规定的原则对投标报价进行修正，修正的价格经投标人书面确认后具有约束力。投标人不接受修正价格的，作否决投标处理。</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360" w:lineRule="auto"/>
              <w:rPr>
                <w:rFonts w:ascii="宋体" w:hAnsi="宋体"/>
                <w:kern w:val="0"/>
              </w:rPr>
            </w:pPr>
            <w:r>
              <w:rPr>
                <w:rFonts w:hint="eastAsia" w:ascii="宋体" w:hAnsi="宋体"/>
                <w:kern w:val="0"/>
              </w:rPr>
              <w:t>其它</w:t>
            </w:r>
          </w:p>
        </w:tc>
        <w:tc>
          <w:tcPr>
            <w:tcW w:w="7953" w:type="dxa"/>
            <w:gridSpan w:val="2"/>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ind w:left="1" w:firstLine="420" w:firstLineChars="200"/>
              <w:jc w:val="left"/>
              <w:rPr>
                <w:rFonts w:ascii="宋体" w:hAnsi="宋体"/>
                <w:kern w:val="0"/>
              </w:rPr>
            </w:pPr>
            <w:r>
              <w:rPr>
                <w:rFonts w:hint="eastAsia" w:ascii="宋体" w:hAnsi="宋体"/>
                <w:kern w:val="0"/>
              </w:rPr>
              <w:t>评标委员会发现投标人的报价明显低于其它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竞标，其投标作否决投标处理。</w:t>
            </w:r>
          </w:p>
        </w:tc>
      </w:tr>
    </w:tbl>
    <w:p>
      <w:pPr>
        <w:spacing w:line="360" w:lineRule="auto"/>
        <w:rPr>
          <w:rFonts w:ascii="宋体" w:hAnsi="宋体"/>
          <w:bCs/>
        </w:rPr>
      </w:pPr>
    </w:p>
    <w:p>
      <w:pPr>
        <w:spacing w:line="360" w:lineRule="auto"/>
        <w:rPr>
          <w:rFonts w:ascii="宋体" w:hAnsi="宋体"/>
          <w:bCs/>
        </w:rPr>
      </w:pPr>
    </w:p>
    <w:p>
      <w:pPr>
        <w:spacing w:line="360" w:lineRule="auto"/>
        <w:rPr>
          <w:rFonts w:ascii="宋体" w:hAnsi="宋体"/>
          <w:bCs/>
        </w:rPr>
      </w:pPr>
    </w:p>
    <w:p>
      <w:pPr>
        <w:spacing w:line="360" w:lineRule="auto"/>
        <w:rPr>
          <w:rFonts w:hint="eastAsia" w:ascii="宋体" w:hAnsi="宋体"/>
          <w:bCs/>
        </w:rPr>
      </w:pPr>
    </w:p>
    <w:p>
      <w:pPr>
        <w:spacing w:line="360" w:lineRule="auto"/>
        <w:rPr>
          <w:rFonts w:ascii="宋体" w:hAnsi="宋体"/>
          <w:bCs/>
        </w:rPr>
      </w:pPr>
    </w:p>
    <w:p>
      <w:pPr>
        <w:spacing w:line="360" w:lineRule="auto"/>
        <w:rPr>
          <w:rFonts w:ascii="宋体" w:hAnsi="宋体"/>
          <w:bCs/>
        </w:rPr>
      </w:pPr>
    </w:p>
    <w:p>
      <w:pPr>
        <w:pStyle w:val="2"/>
        <w:ind w:left="2160" w:hanging="2160"/>
      </w:pPr>
    </w:p>
    <w:p>
      <w:pPr>
        <w:pStyle w:val="2"/>
        <w:ind w:left="2160" w:hanging="2160"/>
        <w:rPr>
          <w:rFonts w:hint="eastAsia"/>
        </w:rPr>
      </w:pPr>
    </w:p>
    <w:p>
      <w:pPr>
        <w:pStyle w:val="3"/>
        <w:spacing w:line="288" w:lineRule="auto"/>
        <w:jc w:val="center"/>
        <w:rPr>
          <w:rFonts w:ascii="宋体" w:hAnsi="宋体"/>
        </w:rPr>
      </w:pPr>
      <w:bookmarkStart w:id="269" w:name="_Toc73546950"/>
      <w:r>
        <w:rPr>
          <w:rFonts w:hint="eastAsia" w:ascii="宋体" w:hAnsi="宋体"/>
        </w:rPr>
        <w:t>第四章</w:t>
      </w:r>
      <w:r>
        <w:rPr>
          <w:rFonts w:hint="eastAsia" w:ascii="宋体" w:hAnsi="宋体"/>
          <w:lang w:val="en-US" w:eastAsia="zh-CN"/>
        </w:rPr>
        <w:t xml:space="preserve"> </w:t>
      </w:r>
      <w:r>
        <w:rPr>
          <w:rFonts w:hint="eastAsia" w:ascii="宋体" w:hAnsi="宋体"/>
        </w:rPr>
        <w:t>合同条款及格式</w:t>
      </w:r>
      <w:bookmarkEnd w:id="269"/>
    </w:p>
    <w:p>
      <w:pPr>
        <w:spacing w:line="360" w:lineRule="auto"/>
        <w:jc w:val="center"/>
        <w:rPr>
          <w:rFonts w:ascii="宋体" w:hAnsi="宋体"/>
          <w:b/>
          <w:bCs/>
          <w:sz w:val="36"/>
          <w:szCs w:val="36"/>
        </w:rPr>
      </w:pPr>
      <w:r>
        <w:rPr>
          <w:rFonts w:hint="eastAsia" w:ascii="宋体" w:hAnsi="宋体"/>
          <w:b/>
          <w:bCs/>
          <w:sz w:val="36"/>
          <w:szCs w:val="36"/>
        </w:rPr>
        <w:t>重庆市立信职业教育中心2022年出版教材</w:t>
      </w:r>
    </w:p>
    <w:p>
      <w:pPr>
        <w:spacing w:line="360" w:lineRule="auto"/>
        <w:jc w:val="center"/>
        <w:rPr>
          <w:rFonts w:ascii="宋体" w:hAnsi="宋体"/>
          <w:b/>
          <w:bCs/>
          <w:sz w:val="36"/>
          <w:szCs w:val="36"/>
        </w:rPr>
      </w:pPr>
      <w:r>
        <w:rPr>
          <w:rFonts w:hint="eastAsia" w:ascii="宋体" w:hAnsi="宋体"/>
          <w:b/>
          <w:bCs/>
          <w:sz w:val="36"/>
          <w:szCs w:val="36"/>
        </w:rPr>
        <w:t>供应采购服务合同</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甲方：重庆市立信职业教育中心</w:t>
      </w:r>
    </w:p>
    <w:p>
      <w:pPr>
        <w:spacing w:line="360" w:lineRule="auto"/>
        <w:rPr>
          <w:rFonts w:ascii="宋体" w:hAnsi="宋体"/>
          <w:b/>
          <w:sz w:val="24"/>
        </w:rPr>
      </w:pPr>
      <w:r>
        <w:rPr>
          <w:rFonts w:hint="eastAsia" w:ascii="宋体" w:hAnsi="宋体"/>
          <w:b/>
          <w:sz w:val="24"/>
        </w:rPr>
        <w:t xml:space="preserve">乙方： </w:t>
      </w:r>
    </w:p>
    <w:p>
      <w:pPr>
        <w:spacing w:line="360" w:lineRule="auto"/>
        <w:ind w:firstLine="540" w:firstLineChars="225"/>
        <w:rPr>
          <w:rFonts w:ascii="宋体" w:hAnsi="宋体"/>
          <w:sz w:val="24"/>
        </w:rPr>
      </w:pPr>
      <w:r>
        <w:rPr>
          <w:rFonts w:hint="eastAsia" w:ascii="宋体" w:hAnsi="宋体"/>
          <w:sz w:val="24"/>
        </w:rPr>
        <w:t>根据《中华人民共和国合同法》和其他相关法律法规的规定，本合同甲乙双方本着平等、自愿、诚实、信用、互惠互利的原则，经充分协商，就甲方与乙方建立教学教材购销关系，向乙方购买教学教材及相关服务事宜，达成如下协议，以兹共同遵守：</w:t>
      </w:r>
    </w:p>
    <w:p>
      <w:pPr>
        <w:spacing w:line="360" w:lineRule="auto"/>
        <w:ind w:firstLine="540" w:firstLineChars="225"/>
        <w:rPr>
          <w:rFonts w:ascii="宋体" w:hAnsi="宋体"/>
          <w:sz w:val="24"/>
        </w:rPr>
      </w:pPr>
    </w:p>
    <w:p>
      <w:pPr>
        <w:numPr>
          <w:ilvl w:val="0"/>
          <w:numId w:val="5"/>
        </w:numPr>
        <w:tabs>
          <w:tab w:val="left" w:pos="0"/>
        </w:tabs>
        <w:spacing w:line="360" w:lineRule="auto"/>
        <w:ind w:left="0" w:hanging="4"/>
        <w:rPr>
          <w:rFonts w:ascii="宋体" w:hAnsi="宋体"/>
          <w:b/>
          <w:sz w:val="24"/>
        </w:rPr>
      </w:pPr>
      <w:r>
        <w:rPr>
          <w:rFonts w:hint="eastAsia" w:ascii="宋体" w:hAnsi="宋体"/>
          <w:b/>
          <w:sz w:val="24"/>
        </w:rPr>
        <w:t>质量要求</w:t>
      </w:r>
    </w:p>
    <w:p>
      <w:pPr>
        <w:spacing w:line="360" w:lineRule="auto"/>
        <w:ind w:firstLine="480" w:firstLineChars="200"/>
        <w:rPr>
          <w:rFonts w:ascii="宋体" w:hAnsi="宋体"/>
          <w:b/>
          <w:sz w:val="24"/>
        </w:rPr>
      </w:pPr>
      <w:r>
        <w:rPr>
          <w:rFonts w:hint="eastAsia" w:ascii="宋体" w:hAnsi="宋体"/>
          <w:sz w:val="24"/>
        </w:rPr>
        <w:t>乙方向甲方提供的教材图书完全符合国家出版局规定的图书质量，保证所有图书教材均为最新出版或再版的正版教材。否则，乙方承担由此引起的相关法律责任。</w:t>
      </w:r>
    </w:p>
    <w:p>
      <w:pPr>
        <w:numPr>
          <w:ilvl w:val="0"/>
          <w:numId w:val="5"/>
        </w:numPr>
        <w:tabs>
          <w:tab w:val="left" w:pos="855"/>
        </w:tabs>
        <w:spacing w:line="360" w:lineRule="auto"/>
        <w:ind w:left="855" w:hanging="855"/>
        <w:rPr>
          <w:rFonts w:ascii="宋体" w:hAnsi="宋体"/>
          <w:b/>
          <w:sz w:val="24"/>
        </w:rPr>
      </w:pPr>
      <w:r>
        <w:rPr>
          <w:rFonts w:hint="eastAsia" w:ascii="宋体" w:hAnsi="宋体"/>
          <w:b/>
          <w:sz w:val="24"/>
        </w:rPr>
        <w:t>甲方权利和义务</w:t>
      </w:r>
    </w:p>
    <w:p>
      <w:pPr>
        <w:tabs>
          <w:tab w:val="left" w:pos="900"/>
        </w:tabs>
        <w:spacing w:line="360" w:lineRule="auto"/>
        <w:ind w:firstLine="480" w:firstLineChars="200"/>
        <w:rPr>
          <w:rFonts w:ascii="宋体" w:hAnsi="宋体"/>
          <w:sz w:val="24"/>
        </w:rPr>
      </w:pPr>
      <w:r>
        <w:rPr>
          <w:rFonts w:ascii="宋体" w:hAnsi="宋体"/>
          <w:sz w:val="24"/>
        </w:rPr>
        <w:t>1.</w:t>
      </w:r>
      <w:r>
        <w:rPr>
          <w:rFonts w:hint="eastAsia" w:ascii="宋体" w:hAnsi="宋体"/>
          <w:sz w:val="24"/>
        </w:rPr>
        <w:t>甲方以书面（电子版）形式将订单报给乙方，注明：书号、书名、版别、版次、编者、供书时间、订书时间等相关内容。</w:t>
      </w:r>
    </w:p>
    <w:p>
      <w:pPr>
        <w:tabs>
          <w:tab w:val="left" w:pos="900"/>
        </w:tabs>
        <w:spacing w:line="360" w:lineRule="auto"/>
        <w:ind w:firstLine="480" w:firstLineChars="200"/>
        <w:rPr>
          <w:rFonts w:ascii="宋体" w:hAnsi="宋体"/>
          <w:sz w:val="24"/>
        </w:rPr>
      </w:pPr>
      <w:r>
        <w:rPr>
          <w:rFonts w:ascii="宋体" w:hAnsi="宋体"/>
          <w:sz w:val="24"/>
        </w:rPr>
        <w:t>2.</w:t>
      </w:r>
      <w:r>
        <w:rPr>
          <w:rFonts w:hint="eastAsia" w:ascii="宋体" w:hAnsi="宋体"/>
          <w:sz w:val="24"/>
        </w:rPr>
        <w:t>甲方有权督促、检查、指导乙方按照征订计划采购教材。</w:t>
      </w:r>
    </w:p>
    <w:p>
      <w:pPr>
        <w:numPr>
          <w:ilvl w:val="0"/>
          <w:numId w:val="5"/>
        </w:numPr>
        <w:tabs>
          <w:tab w:val="left" w:pos="855"/>
        </w:tabs>
        <w:spacing w:line="360" w:lineRule="auto"/>
        <w:ind w:left="855" w:hanging="855"/>
        <w:rPr>
          <w:rFonts w:ascii="宋体" w:hAnsi="宋体"/>
          <w:b/>
          <w:sz w:val="24"/>
        </w:rPr>
      </w:pPr>
      <w:r>
        <w:rPr>
          <w:rFonts w:hint="eastAsia" w:ascii="宋体" w:hAnsi="宋体"/>
          <w:b/>
          <w:sz w:val="24"/>
        </w:rPr>
        <w:t>乙方权利和义务</w:t>
      </w:r>
    </w:p>
    <w:p>
      <w:pPr>
        <w:tabs>
          <w:tab w:val="left" w:pos="900"/>
        </w:tabs>
        <w:spacing w:line="360" w:lineRule="auto"/>
        <w:ind w:firstLine="480" w:firstLineChars="200"/>
        <w:rPr>
          <w:rFonts w:ascii="宋体" w:hAnsi="宋体"/>
          <w:sz w:val="24"/>
        </w:rPr>
      </w:pPr>
      <w:r>
        <w:rPr>
          <w:rFonts w:hint="eastAsia" w:ascii="宋体" w:hAnsi="宋体"/>
          <w:sz w:val="24"/>
        </w:rPr>
        <w:t>中标人应向招标人缴纳人民币10万元作为履约保证金，合同到期时若履约情况良好，无遗留问题，则全额无息退还。若所提供教材出现以下情况，则予以扣除保证金，以弥补招标人的损失。</w:t>
      </w:r>
    </w:p>
    <w:p>
      <w:pPr>
        <w:tabs>
          <w:tab w:val="left" w:pos="900"/>
        </w:tabs>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所供教材为盗版的，一经核实，扣除所有保证金，终止双方合作关系，并由投标人承担所有法律责任。</w:t>
      </w:r>
    </w:p>
    <w:p>
      <w:pPr>
        <w:tabs>
          <w:tab w:val="left" w:pos="900"/>
        </w:tabs>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中标人应永久保存教材订购数据，无条件供招标人查询、下载和复制等。</w:t>
      </w:r>
    </w:p>
    <w:p>
      <w:pPr>
        <w:tabs>
          <w:tab w:val="left" w:pos="900"/>
        </w:tabs>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当季教材发放在开学前七日到书率达不到98％，每延迟一天扣除人民币2000.00元，从投标人交纳的保证金中扣除，开学前三日到书率仍未达到98％，将扣除所有保证金；当季教材销售结束，立即终止双方合作关系。</w:t>
      </w:r>
    </w:p>
    <w:p>
      <w:pPr>
        <w:tabs>
          <w:tab w:val="left" w:pos="900"/>
        </w:tabs>
        <w:spacing w:line="360" w:lineRule="auto"/>
        <w:ind w:firstLine="480" w:firstLineChars="200"/>
        <w:rPr>
          <w:rFonts w:ascii="宋体" w:hAnsi="宋体"/>
          <w:sz w:val="24"/>
        </w:rPr>
      </w:pPr>
      <w:r>
        <w:rPr>
          <w:rFonts w:hint="eastAsia" w:ascii="宋体" w:hAnsi="宋体"/>
          <w:sz w:val="24"/>
        </w:rPr>
        <w:t>合同期内，若履约失信，则按照违约条款处理。招标人有权解除合同，则只无息返还扣款后的余额并清理出场。合同期满时若履约完全合格，则全额无息返还保证金。</w:t>
      </w:r>
    </w:p>
    <w:p>
      <w:pPr>
        <w:tabs>
          <w:tab w:val="left" w:pos="900"/>
        </w:tabs>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中标人应遵守国家法律、法规，提供正版及合格的书刊，书刊的装帧、纸张印刷等方面应符合国家有关规范标准的要求。</w:t>
      </w:r>
    </w:p>
    <w:p>
      <w:pPr>
        <w:tabs>
          <w:tab w:val="left" w:pos="900"/>
        </w:tabs>
        <w:spacing w:line="360" w:lineRule="auto"/>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招标人师生购买的教材，发现破损、倒装、缺页、印刷模糊、页次颠倒、书名不符等，中标人应承诺换书或退书。</w:t>
      </w:r>
    </w:p>
    <w:p>
      <w:pPr>
        <w:spacing w:line="360" w:lineRule="auto"/>
        <w:rPr>
          <w:rFonts w:ascii="宋体" w:hAnsi="宋体"/>
          <w:b/>
          <w:sz w:val="24"/>
        </w:rPr>
      </w:pPr>
      <w:r>
        <w:rPr>
          <w:rFonts w:hint="eastAsia" w:ascii="宋体" w:hAnsi="宋体"/>
          <w:b/>
          <w:sz w:val="24"/>
        </w:rPr>
        <w:t>第四条 结算及付款</w:t>
      </w:r>
    </w:p>
    <w:p>
      <w:pPr>
        <w:spacing w:line="360" w:lineRule="auto"/>
        <w:ind w:firstLine="480" w:firstLineChars="200"/>
        <w:rPr>
          <w:rFonts w:ascii="宋体" w:hAnsi="宋体"/>
          <w:sz w:val="24"/>
        </w:rPr>
      </w:pPr>
      <w:r>
        <w:rPr>
          <w:rFonts w:hint="eastAsia" w:ascii="宋体" w:hAnsi="宋体"/>
          <w:sz w:val="24"/>
        </w:rPr>
        <w:t>1.验收合格后按实际使用数量支付当期书款总价的98%，剩余的2%作为质保金，在该期教材质保期（验收合格后三个月）满后即付。</w:t>
      </w:r>
    </w:p>
    <w:p>
      <w:pPr>
        <w:spacing w:line="360" w:lineRule="auto"/>
        <w:ind w:firstLine="480" w:firstLineChars="200"/>
        <w:rPr>
          <w:rFonts w:ascii="宋体" w:hAnsi="宋体"/>
          <w:sz w:val="24"/>
        </w:rPr>
      </w:pPr>
      <w:r>
        <w:rPr>
          <w:rFonts w:hint="eastAsia" w:ascii="宋体" w:hAnsi="宋体"/>
          <w:sz w:val="24"/>
        </w:rPr>
        <w:t>2.签订合同时缴纳场地租赁费。</w:t>
      </w:r>
    </w:p>
    <w:p>
      <w:pPr>
        <w:numPr>
          <w:ilvl w:val="0"/>
          <w:numId w:val="8"/>
        </w:numPr>
        <w:spacing w:line="360" w:lineRule="auto"/>
        <w:rPr>
          <w:rFonts w:ascii="宋体" w:hAnsi="宋体"/>
          <w:sz w:val="24"/>
        </w:rPr>
      </w:pPr>
      <w:r>
        <w:rPr>
          <w:rFonts w:hint="eastAsia" w:ascii="宋体" w:hAnsi="宋体"/>
          <w:b/>
          <w:sz w:val="24"/>
        </w:rPr>
        <w:t>合同的争议解决方式</w:t>
      </w:r>
    </w:p>
    <w:p>
      <w:pPr>
        <w:spacing w:line="360" w:lineRule="auto"/>
        <w:ind w:firstLine="480" w:firstLineChars="200"/>
        <w:rPr>
          <w:rFonts w:ascii="宋体" w:hAnsi="宋体"/>
          <w:sz w:val="24"/>
        </w:rPr>
      </w:pPr>
      <w:r>
        <w:rPr>
          <w:rFonts w:hint="eastAsia" w:ascii="宋体" w:hAnsi="宋体"/>
          <w:sz w:val="24"/>
        </w:rPr>
        <w:t>本合同项下发生争议，由双方当事人协商解决，协商不成的可依法向买受方所在地人民法院起诉。</w:t>
      </w:r>
    </w:p>
    <w:p>
      <w:pPr>
        <w:numPr>
          <w:ilvl w:val="0"/>
          <w:numId w:val="8"/>
        </w:numPr>
        <w:tabs>
          <w:tab w:val="left" w:pos="0"/>
        </w:tabs>
        <w:spacing w:line="360" w:lineRule="auto"/>
        <w:ind w:left="851" w:hanging="851"/>
        <w:rPr>
          <w:rFonts w:ascii="宋体" w:hAnsi="宋体"/>
          <w:sz w:val="24"/>
        </w:rPr>
      </w:pPr>
      <w:r>
        <w:rPr>
          <w:rFonts w:hint="eastAsia" w:ascii="宋体" w:hAnsi="宋体"/>
          <w:sz w:val="24"/>
        </w:rPr>
        <w:t>本合同一式</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ascii="宋体" w:hAnsi="宋体"/>
          <w:sz w:val="24"/>
        </w:rPr>
        <w:t>份，</w:t>
      </w:r>
      <w:r>
        <w:rPr>
          <w:rFonts w:hint="eastAsia" w:ascii="宋体" w:hAnsi="宋体"/>
          <w:sz w:val="24"/>
        </w:rPr>
        <w:t>乙方执</w:t>
      </w:r>
      <w:r>
        <w:rPr>
          <w:rFonts w:hint="eastAsia" w:ascii="宋体" w:hAnsi="宋体"/>
          <w:sz w:val="24"/>
          <w:u w:val="single"/>
        </w:rPr>
        <w:t xml:space="preserve">  </w:t>
      </w:r>
      <w:r>
        <w:rPr>
          <w:rFonts w:hint="eastAsia" w:ascii="宋体" w:hAnsi="宋体"/>
          <w:sz w:val="24"/>
        </w:rPr>
        <w:t>份，自双方签章时生效。</w:t>
      </w:r>
    </w:p>
    <w:p>
      <w:pPr>
        <w:numPr>
          <w:ilvl w:val="0"/>
          <w:numId w:val="8"/>
        </w:numPr>
        <w:tabs>
          <w:tab w:val="left" w:pos="0"/>
        </w:tabs>
        <w:spacing w:line="360" w:lineRule="auto"/>
        <w:rPr>
          <w:rFonts w:ascii="宋体" w:hAnsi="宋体"/>
          <w:b/>
          <w:sz w:val="24"/>
        </w:rPr>
      </w:pPr>
      <w:r>
        <w:rPr>
          <w:rFonts w:hint="eastAsia" w:ascii="宋体" w:hAnsi="宋体"/>
          <w:b/>
          <w:sz w:val="24"/>
        </w:rPr>
        <w:t>其他约定事项</w:t>
      </w:r>
    </w:p>
    <w:p>
      <w:pPr>
        <w:spacing w:line="360" w:lineRule="auto"/>
        <w:ind w:firstLine="480" w:firstLineChars="200"/>
        <w:rPr>
          <w:rFonts w:ascii="宋体" w:hAnsi="宋体"/>
          <w:sz w:val="24"/>
        </w:rPr>
      </w:pPr>
      <w:r>
        <w:rPr>
          <w:rFonts w:hint="eastAsia" w:ascii="宋体" w:hAnsi="宋体"/>
          <w:sz w:val="24"/>
        </w:rPr>
        <w:t>本合同未尽事宜，双方可协商签订补充协议，其可作为本合同的附件，与主合同具有同样的效力。</w:t>
      </w:r>
    </w:p>
    <w:p>
      <w:pPr>
        <w:spacing w:line="360" w:lineRule="auto"/>
        <w:rPr>
          <w:rFonts w:ascii="宋体" w:hAnsi="宋体"/>
          <w:sz w:val="24"/>
        </w:rPr>
      </w:pPr>
    </w:p>
    <w:p>
      <w:pPr>
        <w:spacing w:line="360" w:lineRule="auto"/>
        <w:ind w:left="6581" w:hanging="6580" w:hangingChars="2742"/>
        <w:rPr>
          <w:rFonts w:ascii="宋体" w:hAnsi="宋体"/>
          <w:sz w:val="24"/>
        </w:rPr>
      </w:pPr>
      <w:r>
        <w:rPr>
          <w:rFonts w:hint="eastAsia" w:ascii="宋体" w:hAnsi="宋体"/>
          <w:sz w:val="24"/>
        </w:rPr>
        <w:t>甲方（签章）：                           乙方（签章）：</w:t>
      </w:r>
    </w:p>
    <w:p>
      <w:pPr>
        <w:spacing w:line="360" w:lineRule="auto"/>
        <w:rPr>
          <w:rFonts w:ascii="宋体" w:hAnsi="宋体"/>
          <w:sz w:val="24"/>
        </w:rPr>
      </w:pPr>
      <w:r>
        <w:rPr>
          <w:rFonts w:hint="eastAsia" w:ascii="宋体" w:hAnsi="宋体"/>
          <w:sz w:val="24"/>
        </w:rPr>
        <w:t>甲方代表：                              乙方代表：</w:t>
      </w:r>
    </w:p>
    <w:p>
      <w:pPr>
        <w:spacing w:line="360" w:lineRule="auto"/>
        <w:rPr>
          <w:rFonts w:ascii="宋体" w:hAnsi="宋体"/>
          <w:sz w:val="24"/>
        </w:rPr>
      </w:pPr>
      <w:r>
        <w:rPr>
          <w:rFonts w:hint="eastAsia" w:ascii="宋体" w:hAnsi="宋体"/>
          <w:sz w:val="24"/>
        </w:rPr>
        <w:t>所在地：                                所在地：</w:t>
      </w:r>
    </w:p>
    <w:p>
      <w:pPr>
        <w:spacing w:line="360" w:lineRule="auto"/>
        <w:rPr>
          <w:rFonts w:ascii="宋体" w:hAnsi="宋体"/>
          <w:sz w:val="24"/>
        </w:rPr>
      </w:pPr>
      <w:r>
        <w:rPr>
          <w:rFonts w:hint="eastAsia" w:ascii="宋体" w:hAnsi="宋体"/>
          <w:sz w:val="24"/>
        </w:rPr>
        <w:t>电话：                                  电话：</w:t>
      </w:r>
    </w:p>
    <w:p>
      <w:pPr>
        <w:spacing w:line="360" w:lineRule="auto"/>
        <w:rPr>
          <w:rFonts w:ascii="宋体" w:hAnsi="宋体"/>
          <w:sz w:val="24"/>
        </w:rPr>
      </w:pPr>
      <w:r>
        <w:rPr>
          <w:rFonts w:hint="eastAsia" w:ascii="宋体" w:hAnsi="宋体"/>
          <w:sz w:val="24"/>
        </w:rPr>
        <w:t>开户行：                                开户行：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签约时间：   年    月    日             签约时间：    年    月    日</w:t>
      </w:r>
    </w:p>
    <w:p>
      <w:pPr>
        <w:spacing w:line="360" w:lineRule="auto"/>
        <w:rPr>
          <w:rFonts w:ascii="宋体" w:hAnsi="宋体"/>
          <w:bCs/>
        </w:rPr>
      </w:pPr>
    </w:p>
    <w:bookmarkEnd w:id="193"/>
    <w:p>
      <w:pPr>
        <w:pStyle w:val="3"/>
        <w:spacing w:before="0" w:after="0" w:line="360" w:lineRule="auto"/>
        <w:jc w:val="center"/>
        <w:rPr>
          <w:rFonts w:ascii="宋体" w:hAnsi="宋体"/>
          <w:kern w:val="0"/>
        </w:rPr>
      </w:pPr>
      <w:bookmarkStart w:id="270" w:name="_Toc73546951"/>
      <w:bookmarkStart w:id="271" w:name="_Toc451342704"/>
      <w:r>
        <w:rPr>
          <w:rFonts w:hint="eastAsia" w:ascii="宋体" w:hAnsi="宋体"/>
          <w:kern w:val="0"/>
        </w:rPr>
        <w:t>第五章</w:t>
      </w:r>
      <w:r>
        <w:rPr>
          <w:rFonts w:ascii="宋体" w:hAnsi="宋体"/>
          <w:kern w:val="0"/>
        </w:rPr>
        <w:t xml:space="preserve">  </w:t>
      </w:r>
      <w:r>
        <w:rPr>
          <w:rFonts w:hint="eastAsia" w:ascii="宋体" w:hAnsi="宋体"/>
        </w:rPr>
        <w:t>项目技术</w:t>
      </w:r>
      <w:bookmarkStart w:id="272" w:name="_Toc216163281"/>
      <w:r>
        <w:rPr>
          <w:rFonts w:hint="eastAsia" w:ascii="宋体" w:hAnsi="宋体"/>
        </w:rPr>
        <w:t>、服务要求</w:t>
      </w:r>
      <w:bookmarkEnd w:id="270"/>
      <w:bookmarkEnd w:id="272"/>
    </w:p>
    <w:bookmarkEnd w:id="271"/>
    <w:p>
      <w:pPr>
        <w:pStyle w:val="4"/>
        <w:adjustRightInd/>
        <w:snapToGrid/>
        <w:ind w:firstLine="560" w:firstLineChars="200"/>
        <w:rPr>
          <w:rFonts w:ascii="宋体" w:eastAsia="宋体"/>
          <w:szCs w:val="24"/>
        </w:rPr>
      </w:pPr>
      <w:bookmarkStart w:id="273" w:name="_Toc73546952"/>
      <w:bookmarkStart w:id="274" w:name="_Toc453767293"/>
      <w:bookmarkStart w:id="275" w:name="_Toc5530"/>
      <w:bookmarkStart w:id="276" w:name="_Toc517800326"/>
      <w:r>
        <w:rPr>
          <w:rFonts w:hint="eastAsia" w:ascii="宋体" w:eastAsia="宋体"/>
          <w:szCs w:val="24"/>
        </w:rPr>
        <w:t>一、招标项目一览表</w:t>
      </w:r>
      <w:bookmarkEnd w:id="273"/>
      <w:bookmarkEnd w:id="274"/>
      <w:bookmarkEnd w:id="275"/>
      <w:bookmarkEnd w:id="276"/>
    </w:p>
    <w:tbl>
      <w:tblPr>
        <w:tblStyle w:val="52"/>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150"/>
        <w:gridCol w:w="222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2295" w:type="dxa"/>
            <w:vAlign w:val="center"/>
          </w:tcPr>
          <w:p>
            <w:pPr>
              <w:jc w:val="center"/>
              <w:rPr>
                <w:rFonts w:ascii="宋体" w:hAnsi="宋体"/>
                <w:b/>
                <w:sz w:val="24"/>
              </w:rPr>
            </w:pPr>
            <w:bookmarkStart w:id="277" w:name="_Toc453767294"/>
            <w:r>
              <w:rPr>
                <w:rFonts w:hint="eastAsia" w:ascii="宋体" w:hAnsi="宋体"/>
                <w:b/>
                <w:sz w:val="24"/>
              </w:rPr>
              <w:t>项目名称</w:t>
            </w:r>
          </w:p>
        </w:tc>
        <w:tc>
          <w:tcPr>
            <w:tcW w:w="2150" w:type="dxa"/>
            <w:vAlign w:val="center"/>
          </w:tcPr>
          <w:p>
            <w:pPr>
              <w:pStyle w:val="22"/>
              <w:ind w:firstLine="0" w:firstLineChars="0"/>
              <w:jc w:val="center"/>
              <w:outlineLvl w:val="0"/>
              <w:rPr>
                <w:rFonts w:ascii="宋体" w:hAnsi="宋体"/>
                <w:b/>
                <w:sz w:val="24"/>
                <w:szCs w:val="24"/>
              </w:rPr>
            </w:pPr>
            <w:bookmarkStart w:id="278" w:name="_Toc73546953"/>
            <w:r>
              <w:rPr>
                <w:rFonts w:hint="eastAsia" w:ascii="宋体" w:hAnsi="宋体"/>
                <w:b/>
                <w:sz w:val="24"/>
                <w:szCs w:val="24"/>
              </w:rPr>
              <w:t>服务周期</w:t>
            </w:r>
            <w:bookmarkEnd w:id="278"/>
          </w:p>
        </w:tc>
        <w:tc>
          <w:tcPr>
            <w:tcW w:w="2227" w:type="dxa"/>
            <w:vAlign w:val="center"/>
          </w:tcPr>
          <w:p>
            <w:pPr>
              <w:pStyle w:val="22"/>
              <w:ind w:firstLine="0" w:firstLineChars="0"/>
              <w:jc w:val="center"/>
              <w:outlineLvl w:val="0"/>
              <w:rPr>
                <w:rFonts w:ascii="宋体" w:hAnsi="宋体"/>
                <w:b/>
                <w:sz w:val="24"/>
                <w:szCs w:val="24"/>
              </w:rPr>
            </w:pPr>
            <w:bookmarkStart w:id="279" w:name="_Toc73546954"/>
            <w:r>
              <w:rPr>
                <w:rFonts w:hint="eastAsia" w:ascii="宋体" w:hAnsi="宋体"/>
                <w:b/>
                <w:sz w:val="24"/>
                <w:szCs w:val="24"/>
              </w:rPr>
              <w:t>拟采购供货商家数（名）</w:t>
            </w:r>
            <w:bookmarkEnd w:id="279"/>
          </w:p>
        </w:tc>
        <w:tc>
          <w:tcPr>
            <w:tcW w:w="1938" w:type="dxa"/>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2295" w:type="dxa"/>
            <w:vAlign w:val="center"/>
          </w:tcPr>
          <w:p>
            <w:pPr>
              <w:jc w:val="center"/>
              <w:rPr>
                <w:rFonts w:ascii="宋体" w:hAnsi="宋体"/>
                <w:sz w:val="24"/>
              </w:rPr>
            </w:pPr>
            <w:r>
              <w:rPr>
                <w:rFonts w:hint="eastAsia" w:ascii="宋体" w:hAnsi="宋体"/>
                <w:sz w:val="24"/>
              </w:rPr>
              <w:t>重庆市立信职业教育中心2022年出版教材供应采购服务</w:t>
            </w:r>
          </w:p>
        </w:tc>
        <w:tc>
          <w:tcPr>
            <w:tcW w:w="2150" w:type="dxa"/>
            <w:vAlign w:val="center"/>
          </w:tcPr>
          <w:p>
            <w:pPr>
              <w:pStyle w:val="14"/>
              <w:ind w:firstLine="0" w:firstLineChars="0"/>
              <w:jc w:val="center"/>
              <w:outlineLvl w:val="0"/>
              <w:rPr>
                <w:rFonts w:ascii="宋体" w:hAnsi="宋体"/>
                <w:sz w:val="24"/>
                <w:szCs w:val="24"/>
              </w:rPr>
            </w:pPr>
            <w:bookmarkStart w:id="280" w:name="_Toc73546955"/>
            <w:r>
              <w:rPr>
                <w:rFonts w:hint="eastAsia" w:ascii="宋体" w:hAnsi="宋体"/>
                <w:sz w:val="24"/>
                <w:szCs w:val="24"/>
              </w:rPr>
              <w:t>2022年</w:t>
            </w:r>
            <w:bookmarkEnd w:id="280"/>
            <w:r>
              <w:rPr>
                <w:rFonts w:hint="eastAsia" w:ascii="宋体" w:hAnsi="宋体"/>
                <w:sz w:val="24"/>
                <w:szCs w:val="24"/>
              </w:rPr>
              <w:t>1月-</w:t>
            </w:r>
            <w:r>
              <w:rPr>
                <w:rFonts w:ascii="宋体" w:hAnsi="宋体"/>
                <w:sz w:val="24"/>
                <w:szCs w:val="24"/>
              </w:rPr>
              <w:t>2022</w:t>
            </w:r>
            <w:r>
              <w:rPr>
                <w:rFonts w:hint="eastAsia" w:ascii="宋体" w:hAnsi="宋体"/>
                <w:sz w:val="24"/>
                <w:szCs w:val="24"/>
              </w:rPr>
              <w:t>年1</w:t>
            </w:r>
            <w:r>
              <w:rPr>
                <w:rFonts w:ascii="宋体" w:hAnsi="宋体"/>
                <w:sz w:val="24"/>
                <w:szCs w:val="24"/>
              </w:rPr>
              <w:t>2</w:t>
            </w:r>
            <w:r>
              <w:rPr>
                <w:rFonts w:hint="eastAsia" w:ascii="宋体" w:hAnsi="宋体"/>
                <w:sz w:val="24"/>
                <w:szCs w:val="24"/>
              </w:rPr>
              <w:t>月</w:t>
            </w:r>
          </w:p>
        </w:tc>
        <w:tc>
          <w:tcPr>
            <w:tcW w:w="2227" w:type="dxa"/>
            <w:vAlign w:val="center"/>
          </w:tcPr>
          <w:p>
            <w:pPr>
              <w:pStyle w:val="14"/>
              <w:ind w:firstLine="0" w:firstLineChars="0"/>
              <w:jc w:val="center"/>
              <w:outlineLvl w:val="0"/>
              <w:rPr>
                <w:rFonts w:ascii="宋体" w:hAnsi="宋体"/>
                <w:sz w:val="24"/>
                <w:szCs w:val="24"/>
              </w:rPr>
            </w:pPr>
            <w:bookmarkStart w:id="281" w:name="_Toc73546956"/>
            <w:r>
              <w:rPr>
                <w:rFonts w:hint="eastAsia" w:ascii="宋体" w:hAnsi="宋体"/>
                <w:sz w:val="24"/>
                <w:szCs w:val="24"/>
              </w:rPr>
              <w:t>1</w:t>
            </w:r>
            <w:bookmarkEnd w:id="281"/>
          </w:p>
        </w:tc>
        <w:tc>
          <w:tcPr>
            <w:tcW w:w="1938" w:type="dxa"/>
            <w:vAlign w:val="center"/>
          </w:tcPr>
          <w:p>
            <w:pPr>
              <w:rPr>
                <w:rFonts w:ascii="宋体" w:hAnsi="宋体"/>
                <w:sz w:val="24"/>
              </w:rPr>
            </w:pPr>
          </w:p>
        </w:tc>
      </w:tr>
    </w:tbl>
    <w:p>
      <w:pPr>
        <w:pStyle w:val="4"/>
        <w:adjustRightInd/>
        <w:snapToGrid/>
        <w:ind w:firstLine="560" w:firstLineChars="200"/>
        <w:rPr>
          <w:rFonts w:ascii="宋体" w:eastAsia="宋体"/>
          <w:szCs w:val="24"/>
        </w:rPr>
      </w:pPr>
      <w:bookmarkStart w:id="282" w:name="_Toc3030"/>
      <w:bookmarkStart w:id="283" w:name="_Toc73546957"/>
      <w:bookmarkStart w:id="284" w:name="_Toc517800327"/>
      <w:r>
        <w:rPr>
          <w:rFonts w:hint="eastAsia" w:ascii="宋体" w:eastAsia="宋体"/>
          <w:szCs w:val="24"/>
        </w:rPr>
        <w:t>二、</w:t>
      </w:r>
      <w:bookmarkEnd w:id="277"/>
      <w:bookmarkEnd w:id="282"/>
      <w:r>
        <w:rPr>
          <w:rFonts w:hint="eastAsia" w:ascii="宋体" w:eastAsia="宋体"/>
          <w:szCs w:val="24"/>
        </w:rPr>
        <w:tab/>
      </w:r>
      <w:r>
        <w:rPr>
          <w:rFonts w:hint="eastAsia" w:ascii="宋体" w:eastAsia="宋体"/>
          <w:szCs w:val="24"/>
        </w:rPr>
        <w:t>招标项目内容、货物技术需求</w:t>
      </w:r>
      <w:bookmarkEnd w:id="283"/>
      <w:bookmarkEnd w:id="284"/>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投标人基本要求：</w:t>
      </w:r>
    </w:p>
    <w:p>
      <w:pPr>
        <w:spacing w:line="360" w:lineRule="auto"/>
        <w:ind w:firstLine="480" w:firstLineChars="200"/>
        <w:outlineLvl w:val="2"/>
        <w:rPr>
          <w:rFonts w:ascii="宋体" w:hAnsi="宋体"/>
          <w:sz w:val="24"/>
        </w:rPr>
      </w:pPr>
      <w:r>
        <w:rPr>
          <w:rFonts w:hint="eastAsia" w:ascii="宋体" w:hAnsi="宋体"/>
          <w:sz w:val="24"/>
        </w:rPr>
        <w:t>（1）具有大中专教材征订、储运、调剂、退换等能力；</w:t>
      </w:r>
    </w:p>
    <w:p>
      <w:pPr>
        <w:spacing w:line="360" w:lineRule="auto"/>
        <w:ind w:firstLine="480" w:firstLineChars="200"/>
        <w:outlineLvl w:val="2"/>
        <w:rPr>
          <w:rFonts w:ascii="宋体" w:hAnsi="宋体"/>
          <w:sz w:val="24"/>
        </w:rPr>
      </w:pPr>
      <w:r>
        <w:rPr>
          <w:rFonts w:hint="eastAsia" w:ascii="宋体" w:hAnsi="宋体"/>
          <w:sz w:val="24"/>
        </w:rPr>
        <w:t>（2）具备在3天时间以内完成对不少于</w:t>
      </w:r>
      <w:r>
        <w:rPr>
          <w:rFonts w:ascii="宋体" w:hAnsi="宋体"/>
          <w:sz w:val="24"/>
        </w:rPr>
        <w:t>5000</w:t>
      </w:r>
      <w:r>
        <w:rPr>
          <w:rFonts w:hint="eastAsia" w:ascii="宋体" w:hAnsi="宋体"/>
          <w:sz w:val="24"/>
        </w:rPr>
        <w:t>学生发放的服务能力：直接面向学生按预交款金额按班级配送发放教材，准确率达到100%（需提供承诺书）。</w:t>
      </w:r>
    </w:p>
    <w:p>
      <w:pPr>
        <w:spacing w:line="360" w:lineRule="auto"/>
        <w:ind w:firstLine="480" w:firstLineChars="200"/>
        <w:outlineLvl w:val="2"/>
        <w:rPr>
          <w:rFonts w:ascii="宋体" w:hAnsi="宋体"/>
          <w:sz w:val="24"/>
        </w:rPr>
      </w:pPr>
      <w:r>
        <w:rPr>
          <w:rFonts w:hint="eastAsia" w:ascii="宋体" w:hAnsi="宋体"/>
          <w:sz w:val="24"/>
        </w:rPr>
        <w:t>（3）进货渠道——提供主要合作出版社名单及相关出版社授予的经销商证明材料。</w:t>
      </w:r>
    </w:p>
    <w:p>
      <w:pPr>
        <w:spacing w:line="360" w:lineRule="auto"/>
        <w:ind w:firstLine="480" w:firstLineChars="200"/>
        <w:outlineLvl w:val="2"/>
        <w:rPr>
          <w:rFonts w:ascii="宋体" w:hAnsi="宋体"/>
          <w:sz w:val="24"/>
        </w:rPr>
      </w:pPr>
      <w:r>
        <w:rPr>
          <w:rFonts w:hint="eastAsia" w:ascii="宋体" w:hAnsi="宋体"/>
          <w:sz w:val="24"/>
        </w:rPr>
        <w:t>（4）承诺在重庆市立信职业教育中心行课期间安排不少于2名的专职人员在该校教材销售服务点工作（须是公司正式员工，其中库管和销售各1名），为全校师生提供教材服务和日常管理（需提供承诺书）。</w:t>
      </w:r>
    </w:p>
    <w:p>
      <w:pPr>
        <w:spacing w:line="360" w:lineRule="auto"/>
        <w:ind w:firstLine="480" w:firstLineChars="200"/>
        <w:outlineLvl w:val="2"/>
        <w:rPr>
          <w:rFonts w:ascii="宋体" w:hAnsi="宋体"/>
          <w:sz w:val="24"/>
        </w:rPr>
      </w:pPr>
      <w:r>
        <w:rPr>
          <w:rFonts w:hint="eastAsia" w:ascii="宋体" w:hAnsi="宋体"/>
          <w:sz w:val="24"/>
        </w:rPr>
        <w:t>（5）提供开户名称、开户银行、帐号及传真、电话、网站、E-mail等。</w:t>
      </w:r>
    </w:p>
    <w:p>
      <w:pPr>
        <w:spacing w:line="360" w:lineRule="auto"/>
        <w:ind w:firstLine="480" w:firstLineChars="200"/>
        <w:outlineLvl w:val="2"/>
        <w:rPr>
          <w:rFonts w:ascii="宋体" w:hAnsi="宋体"/>
          <w:sz w:val="24"/>
        </w:rPr>
      </w:pPr>
      <w:r>
        <w:rPr>
          <w:rFonts w:ascii="宋体" w:hAnsi="宋体"/>
          <w:sz w:val="24"/>
        </w:rPr>
        <w:t>2.</w:t>
      </w:r>
      <w:r>
        <w:rPr>
          <w:rFonts w:hint="eastAsia" w:ascii="宋体" w:hAnsi="宋体"/>
          <w:sz w:val="24"/>
        </w:rPr>
        <w:t>投标人应按以下要求向招标人提供相应的教材采购、供应、销售等配套服务：</w:t>
      </w:r>
    </w:p>
    <w:p>
      <w:pPr>
        <w:spacing w:line="360" w:lineRule="auto"/>
        <w:ind w:firstLine="480" w:firstLineChars="200"/>
        <w:outlineLvl w:val="2"/>
        <w:rPr>
          <w:rFonts w:ascii="宋体" w:hAnsi="宋体"/>
          <w:sz w:val="24"/>
        </w:rPr>
      </w:pPr>
      <w:r>
        <w:rPr>
          <w:rFonts w:hint="eastAsia" w:ascii="宋体" w:hAnsi="宋体"/>
          <w:sz w:val="24"/>
        </w:rPr>
        <w:t>（1）投标人应能够在每次采购任务开始之前，向招标人及时、免费提供最新的新华书店总店编印的纸质和光盘《教材目录》15套，并及时通报出版变更情况。</w:t>
      </w:r>
    </w:p>
    <w:p>
      <w:pPr>
        <w:spacing w:line="360" w:lineRule="auto"/>
        <w:ind w:firstLine="480" w:firstLineChars="200"/>
        <w:outlineLvl w:val="2"/>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）投标人应向招标人提供EXCEL电子发货清单和纸质发货清单。要求纸质发货清单和EXCEL电子发货清单完全一致，其包含的信息项目应有：ISBN号；书名；版别；作者；数量；单价；码洋。</w:t>
      </w:r>
    </w:p>
    <w:p>
      <w:pPr>
        <w:spacing w:line="360" w:lineRule="auto"/>
        <w:ind w:firstLine="480" w:firstLineChars="200"/>
        <w:outlineLvl w:val="2"/>
        <w:rPr>
          <w:rFonts w:ascii="宋体" w:hAnsi="宋体"/>
          <w:sz w:val="24"/>
        </w:rPr>
      </w:pPr>
      <w:r>
        <w:rPr>
          <w:rFonts w:hint="eastAsia" w:ascii="宋体" w:hAnsi="宋体"/>
          <w:sz w:val="24"/>
        </w:rPr>
        <w:t>（3）投标人根据需要向招标人免费提供每个教材品种样书2册。按招标人提供的学期教学任务安排表免费向招标人提供教师用书。</w:t>
      </w:r>
    </w:p>
    <w:p>
      <w:pPr>
        <w:spacing w:line="360" w:lineRule="auto"/>
        <w:ind w:firstLine="480" w:firstLineChars="200"/>
        <w:outlineLvl w:val="2"/>
        <w:rPr>
          <w:rFonts w:ascii="宋体" w:hAnsi="宋体"/>
          <w:sz w:val="24"/>
        </w:rPr>
      </w:pPr>
      <w:r>
        <w:rPr>
          <w:rFonts w:hint="eastAsia" w:ascii="宋体" w:hAnsi="宋体"/>
          <w:sz w:val="24"/>
        </w:rPr>
        <w:t>（4）投标人应积极、主动地提供样书或开展教材进校园的展示活动，每年不少于2次。</w:t>
      </w:r>
    </w:p>
    <w:p>
      <w:pPr>
        <w:spacing w:line="360" w:lineRule="auto"/>
        <w:ind w:firstLine="480" w:firstLineChars="200"/>
        <w:outlineLvl w:val="2"/>
        <w:rPr>
          <w:rFonts w:ascii="宋体" w:hAnsi="宋体"/>
          <w:sz w:val="24"/>
        </w:rPr>
      </w:pPr>
      <w:r>
        <w:rPr>
          <w:rFonts w:hint="eastAsia" w:ascii="宋体" w:hAnsi="宋体"/>
          <w:sz w:val="24"/>
        </w:rPr>
        <w:t>（5）教师领用的教材和参考资料，由投标人发放，并向招标人提供发放清单进行结算。</w:t>
      </w:r>
    </w:p>
    <w:p>
      <w:pPr>
        <w:spacing w:line="360" w:lineRule="auto"/>
        <w:ind w:firstLine="480" w:firstLineChars="200"/>
        <w:outlineLvl w:val="2"/>
        <w:rPr>
          <w:rFonts w:ascii="宋体" w:hAnsi="宋体"/>
          <w:sz w:val="24"/>
        </w:rPr>
      </w:pPr>
      <w:r>
        <w:rPr>
          <w:rFonts w:hint="eastAsia" w:ascii="宋体" w:hAnsi="宋体"/>
          <w:sz w:val="24"/>
        </w:rPr>
        <w:t>（6）投标人应对招标人的自编教材和讲义资料提供免费发放服务，并向招标人提供发放清单进行结算。</w:t>
      </w:r>
    </w:p>
    <w:p>
      <w:pPr>
        <w:spacing w:line="360" w:lineRule="auto"/>
        <w:ind w:firstLine="480" w:firstLineChars="200"/>
        <w:outlineLvl w:val="2"/>
        <w:rPr>
          <w:rFonts w:ascii="宋体" w:hAnsi="宋体"/>
          <w:sz w:val="24"/>
        </w:rPr>
      </w:pPr>
      <w:r>
        <w:rPr>
          <w:rFonts w:hint="eastAsia" w:ascii="宋体" w:hAnsi="宋体"/>
          <w:sz w:val="24"/>
        </w:rPr>
        <w:t>（7）为适应招标人的教材建设和教材选用工作的需要，投标人应按照招标人需要提供选用教材的基本信息（版别、等级、单价、数量等）。</w:t>
      </w:r>
    </w:p>
    <w:p>
      <w:pPr>
        <w:spacing w:line="360" w:lineRule="auto"/>
        <w:ind w:firstLine="480" w:firstLineChars="200"/>
        <w:outlineLvl w:val="2"/>
        <w:rPr>
          <w:rFonts w:ascii="宋体" w:hAnsi="宋体"/>
          <w:sz w:val="24"/>
        </w:rPr>
      </w:pPr>
      <w:r>
        <w:rPr>
          <w:rFonts w:hint="eastAsia" w:ascii="宋体" w:hAnsi="宋体"/>
          <w:sz w:val="24"/>
        </w:rPr>
        <w:t>（8）投标人应根据招标人的专业设置情况，为招标人提供最新的教材书目参考资料并陈列样书展示，方便招标人教师比较和选择教材。</w:t>
      </w:r>
    </w:p>
    <w:p>
      <w:pPr>
        <w:spacing w:line="360" w:lineRule="auto"/>
        <w:ind w:firstLine="480" w:firstLineChars="200"/>
        <w:outlineLvl w:val="2"/>
        <w:rPr>
          <w:rFonts w:ascii="宋体" w:hAnsi="宋体"/>
          <w:sz w:val="24"/>
        </w:rPr>
      </w:pPr>
      <w:r>
        <w:rPr>
          <w:rFonts w:hint="eastAsia" w:ascii="宋体" w:hAnsi="宋体"/>
          <w:sz w:val="24"/>
        </w:rPr>
        <w:t>（9）投标人在负责计划教材的各项销售工作上必须严格遵守新闻出版社《出版社市场管理规定》等国家法律，合法经营。保证所销售的教材图书应为出版署正规出版物，自觉接受招标人的监督，发现有盗版教材图书，由投标人自行承担一切经济和法律责任。</w:t>
      </w:r>
    </w:p>
    <w:p>
      <w:pPr>
        <w:spacing w:line="360" w:lineRule="auto"/>
        <w:ind w:firstLine="480" w:firstLineChars="200"/>
        <w:outlineLvl w:val="2"/>
        <w:rPr>
          <w:rFonts w:ascii="宋体" w:hAnsi="宋体"/>
          <w:sz w:val="24"/>
        </w:rPr>
      </w:pPr>
      <w:r>
        <w:rPr>
          <w:rFonts w:hint="eastAsia" w:ascii="宋体" w:hAnsi="宋体"/>
          <w:sz w:val="24"/>
        </w:rPr>
        <w:t>（10）所有教材报价按同一折扣报价计算。</w:t>
      </w:r>
    </w:p>
    <w:p>
      <w:pPr>
        <w:spacing w:line="360" w:lineRule="auto"/>
        <w:ind w:firstLine="480" w:firstLineChars="200"/>
        <w:outlineLvl w:val="2"/>
        <w:rPr>
          <w:rFonts w:ascii="宋体" w:hAnsi="宋体"/>
          <w:sz w:val="24"/>
        </w:rPr>
      </w:pPr>
      <w:r>
        <w:rPr>
          <w:rFonts w:hint="eastAsia" w:ascii="宋体" w:hAnsi="宋体"/>
          <w:sz w:val="24"/>
        </w:rPr>
        <w:t>（11）教材</w:t>
      </w:r>
      <w:r>
        <w:rPr>
          <w:rFonts w:ascii="宋体" w:hAnsi="宋体"/>
          <w:sz w:val="24"/>
        </w:rPr>
        <w:t>采购实现“</w:t>
      </w:r>
      <w:r>
        <w:rPr>
          <w:rFonts w:hint="eastAsia" w:ascii="宋体" w:hAnsi="宋体"/>
          <w:sz w:val="24"/>
        </w:rPr>
        <w:t>零</w:t>
      </w:r>
      <w:r>
        <w:rPr>
          <w:rFonts w:ascii="宋体" w:hAnsi="宋体"/>
          <w:sz w:val="24"/>
        </w:rPr>
        <w:t>库存”</w:t>
      </w:r>
      <w:r>
        <w:rPr>
          <w:rFonts w:hint="eastAsia" w:ascii="宋体" w:hAnsi="宋体"/>
          <w:sz w:val="24"/>
        </w:rPr>
        <w:t>管理</w:t>
      </w:r>
    </w:p>
    <w:p>
      <w:pPr>
        <w:spacing w:line="360" w:lineRule="auto"/>
        <w:ind w:firstLine="480" w:firstLineChars="200"/>
        <w:outlineLvl w:val="2"/>
        <w:rPr>
          <w:rFonts w:ascii="宋体" w:hAnsi="宋体"/>
          <w:sz w:val="24"/>
        </w:rPr>
      </w:pPr>
      <w:r>
        <w:rPr>
          <w:rFonts w:hint="eastAsia" w:ascii="宋体" w:hAnsi="宋体"/>
          <w:sz w:val="24"/>
        </w:rPr>
        <w:t>（12）由招标人按人民币</w:t>
      </w:r>
      <w:r>
        <w:rPr>
          <w:rFonts w:hint="eastAsia" w:ascii="宋体" w:hAnsi="宋体"/>
          <w:color w:val="FF0000"/>
          <w:sz w:val="24"/>
          <w:u w:val="single"/>
        </w:rPr>
        <w:t xml:space="preserve"> </w:t>
      </w:r>
      <w:r>
        <w:rPr>
          <w:rFonts w:hint="eastAsia" w:ascii="宋体" w:hAnsi="宋体"/>
          <w:color w:val="FF0000"/>
          <w:sz w:val="24"/>
          <w:u w:val="single"/>
          <w:lang w:val="en-US" w:eastAsia="zh-CN"/>
        </w:rPr>
        <w:t>18</w:t>
      </w:r>
      <w:r>
        <w:rPr>
          <w:rFonts w:hint="eastAsia" w:ascii="宋体" w:hAnsi="宋体"/>
          <w:color w:val="FF0000"/>
          <w:sz w:val="24"/>
          <w:u w:val="single"/>
        </w:rPr>
        <w:t xml:space="preserve"> </w:t>
      </w:r>
      <w:r>
        <w:rPr>
          <w:rFonts w:hint="eastAsia" w:ascii="宋体" w:hAnsi="宋体"/>
          <w:color w:val="FF0000"/>
          <w:sz w:val="24"/>
        </w:rPr>
        <w:t>万元/年</w:t>
      </w:r>
      <w:r>
        <w:rPr>
          <w:rFonts w:hint="eastAsia" w:ascii="宋体" w:hAnsi="宋体"/>
          <w:sz w:val="24"/>
        </w:rPr>
        <w:t>的标准向中标人有偿提供200平方米（具体面积以现场勘查为准）经营服务场地，供中标人销售教材，并由中标人独立承担相应法律责任。</w:t>
      </w:r>
    </w:p>
    <w:p>
      <w:pPr>
        <w:pStyle w:val="41"/>
        <w:ind w:firstLine="0" w:firstLineChars="0"/>
        <w:rPr>
          <w:rFonts w:eastAsia="宋体"/>
        </w:rPr>
      </w:pPr>
      <w:r>
        <w:rPr>
          <w:rFonts w:eastAsia="宋体"/>
        </w:rPr>
        <w:br w:type="page"/>
      </w:r>
    </w:p>
    <w:p>
      <w:pPr>
        <w:pStyle w:val="3"/>
        <w:spacing w:line="288" w:lineRule="auto"/>
        <w:jc w:val="center"/>
        <w:rPr>
          <w:rFonts w:ascii="宋体" w:hAnsi="宋体"/>
          <w:kern w:val="0"/>
        </w:rPr>
      </w:pPr>
      <w:bookmarkStart w:id="285" w:name="_Toc73546958"/>
      <w:r>
        <w:rPr>
          <w:rFonts w:hint="eastAsia" w:ascii="宋体" w:hAnsi="宋体"/>
          <w:kern w:val="0"/>
        </w:rPr>
        <w:t>第六章</w:t>
      </w:r>
      <w:r>
        <w:rPr>
          <w:rFonts w:ascii="宋体" w:hAnsi="宋体"/>
          <w:kern w:val="0"/>
        </w:rPr>
        <w:t xml:space="preserve">  </w:t>
      </w:r>
      <w:r>
        <w:rPr>
          <w:rFonts w:hint="eastAsia" w:ascii="宋体" w:hAnsi="宋体"/>
          <w:kern w:val="0"/>
        </w:rPr>
        <w:t>投标文件格式</w:t>
      </w:r>
      <w:bookmarkEnd w:id="285"/>
      <w:bookmarkStart w:id="286" w:name="_Toc73546959"/>
      <w:bookmarkStart w:id="287" w:name="_Toc291847158"/>
      <w:bookmarkStart w:id="288" w:name="_Toc65770013"/>
      <w:bookmarkStart w:id="289" w:name="_Toc451342708"/>
    </w:p>
    <w:p>
      <w:pPr>
        <w:pStyle w:val="3"/>
        <w:spacing w:line="288" w:lineRule="auto"/>
        <w:jc w:val="center"/>
        <w:rPr>
          <w:rFonts w:ascii="宋体"/>
          <w:bCs w:val="0"/>
          <w:sz w:val="32"/>
        </w:rPr>
      </w:pPr>
      <w:r>
        <w:rPr>
          <w:rFonts w:hint="eastAsia" w:ascii="宋体"/>
          <w:sz w:val="32"/>
        </w:rPr>
        <w:t>目</w:t>
      </w:r>
      <w:r>
        <w:rPr>
          <w:rFonts w:ascii="宋体"/>
          <w:sz w:val="32"/>
        </w:rPr>
        <w:t xml:space="preserve">    </w:t>
      </w:r>
      <w:r>
        <w:rPr>
          <w:rFonts w:hint="eastAsia" w:ascii="宋体"/>
          <w:sz w:val="32"/>
        </w:rPr>
        <w:t>录</w:t>
      </w:r>
      <w:bookmarkEnd w:id="286"/>
      <w:bookmarkEnd w:id="287"/>
      <w:bookmarkEnd w:id="288"/>
      <w:bookmarkEnd w:id="289"/>
    </w:p>
    <w:p>
      <w:pPr>
        <w:autoSpaceDE w:val="0"/>
        <w:autoSpaceDN w:val="0"/>
        <w:adjustRightInd w:val="0"/>
        <w:snapToGrid w:val="0"/>
        <w:spacing w:line="288" w:lineRule="auto"/>
        <w:jc w:val="left"/>
        <w:rPr>
          <w:rFonts w:ascii="宋体" w:hAnsi="宋体"/>
          <w:b/>
          <w:kern w:val="0"/>
          <w:sz w:val="24"/>
        </w:rPr>
      </w:pPr>
      <w:r>
        <w:rPr>
          <w:rFonts w:hint="eastAsia" w:ascii="宋体" w:hAnsi="宋体"/>
          <w:b/>
          <w:kern w:val="0"/>
          <w:sz w:val="24"/>
        </w:rPr>
        <w:t>一、投标函部分</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（一）投标函</w:t>
      </w:r>
    </w:p>
    <w:p>
      <w:pPr>
        <w:tabs>
          <w:tab w:val="left" w:pos="2580"/>
          <w:tab w:val="left" w:pos="5940"/>
        </w:tabs>
        <w:autoSpaceDE w:val="0"/>
        <w:autoSpaceDN w:val="0"/>
        <w:adjustRightInd w:val="0"/>
        <w:snapToGrid w:val="0"/>
        <w:spacing w:line="288" w:lineRule="auto"/>
        <w:jc w:val="left"/>
        <w:rPr>
          <w:rFonts w:ascii="宋体" w:hAnsi="宋体"/>
          <w:b/>
          <w:sz w:val="24"/>
        </w:rPr>
      </w:pPr>
      <w:r>
        <w:rPr>
          <w:rFonts w:hint="eastAsia" w:ascii="宋体" w:hAnsi="宋体"/>
          <w:b/>
          <w:kern w:val="0"/>
          <w:sz w:val="24"/>
        </w:rPr>
        <w:t>二、</w:t>
      </w:r>
      <w:r>
        <w:rPr>
          <w:rFonts w:hint="eastAsia" w:ascii="宋体" w:hAnsi="宋体"/>
          <w:b/>
          <w:sz w:val="24"/>
        </w:rPr>
        <w:t>资格审查资料（含商务部分）</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（一）法定代表人身份证明及授权委托书</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（二）投标人基本情况表</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（三）人员要求</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（四）信誉声明</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（五）商务部分</w:t>
      </w:r>
    </w:p>
    <w:p>
      <w:pPr>
        <w:autoSpaceDE w:val="0"/>
        <w:autoSpaceDN w:val="0"/>
        <w:adjustRightInd w:val="0"/>
        <w:spacing w:line="288" w:lineRule="auto"/>
        <w:ind w:right="-20"/>
        <w:jc w:val="left"/>
        <w:rPr>
          <w:rFonts w:ascii="宋体" w:hAnsi="宋体"/>
          <w:kern w:val="0"/>
          <w:sz w:val="24"/>
        </w:rPr>
      </w:pPr>
      <w:r>
        <w:rPr>
          <w:rFonts w:hint="eastAsia" w:ascii="宋体" w:hAnsi="宋体"/>
          <w:kern w:val="0"/>
          <w:sz w:val="24"/>
        </w:rPr>
        <w:t>（六）其他资料</w:t>
      </w: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pStyle w:val="2"/>
        <w:ind w:left="2160" w:hanging="2160"/>
        <w:rPr>
          <w:rFonts w:ascii="宋体" w:hAnsi="宋体" w:eastAsia="宋体"/>
        </w:rPr>
      </w:pPr>
    </w:p>
    <w:p>
      <w:pPr>
        <w:tabs>
          <w:tab w:val="left" w:pos="2580"/>
          <w:tab w:val="left" w:pos="5940"/>
        </w:tabs>
        <w:autoSpaceDE w:val="0"/>
        <w:autoSpaceDN w:val="0"/>
        <w:adjustRightInd w:val="0"/>
        <w:snapToGrid w:val="0"/>
        <w:spacing w:line="288" w:lineRule="auto"/>
        <w:jc w:val="left"/>
        <w:rPr>
          <w:rFonts w:ascii="宋体" w:hAnsi="宋体"/>
          <w:kern w:val="0"/>
          <w:sz w:val="28"/>
          <w:szCs w:val="28"/>
        </w:rPr>
      </w:pPr>
    </w:p>
    <w:p>
      <w:pPr>
        <w:pStyle w:val="5"/>
        <w:numPr>
          <w:ilvl w:val="0"/>
          <w:numId w:val="9"/>
        </w:numPr>
        <w:spacing w:line="288" w:lineRule="auto"/>
        <w:jc w:val="both"/>
        <w:rPr>
          <w:rFonts w:ascii="宋体" w:eastAsia="宋体" w:cs="Times New Roman"/>
          <w:bCs/>
          <w:sz w:val="32"/>
        </w:rPr>
      </w:pPr>
      <w:bookmarkStart w:id="290" w:name="_Toc65770014"/>
      <w:bookmarkStart w:id="291" w:name="_Toc73546960"/>
      <w:bookmarkStart w:id="292" w:name="_Toc451342709"/>
      <w:bookmarkStart w:id="293" w:name="_Toc291847159"/>
      <w:r>
        <w:rPr>
          <w:rFonts w:hint="eastAsia" w:ascii="宋体" w:eastAsia="宋体" w:cs="Times New Roman"/>
          <w:bCs/>
          <w:sz w:val="32"/>
        </w:rPr>
        <w:t>投标函部分</w:t>
      </w:r>
      <w:bookmarkEnd w:id="290"/>
      <w:bookmarkEnd w:id="291"/>
      <w:bookmarkEnd w:id="292"/>
      <w:bookmarkEnd w:id="293"/>
      <w:bookmarkStart w:id="294" w:name="_Toc224103495"/>
      <w:bookmarkStart w:id="295" w:name="_Toc287607867"/>
      <w:bookmarkStart w:id="296" w:name="_Toc451789491"/>
      <w:bookmarkStart w:id="297" w:name="_Toc277082643"/>
      <w:bookmarkStart w:id="298" w:name="_Toc26329"/>
      <w:bookmarkStart w:id="299" w:name="_Toc451960568"/>
      <w:bookmarkStart w:id="300" w:name="_Toc291847160"/>
    </w:p>
    <w:p>
      <w:pPr>
        <w:pStyle w:val="5"/>
        <w:spacing w:line="288" w:lineRule="auto"/>
        <w:jc w:val="both"/>
        <w:rPr>
          <w:rFonts w:ascii="宋体" w:eastAsia="宋体" w:cs="Times New Roman"/>
          <w:sz w:val="28"/>
        </w:rPr>
      </w:pPr>
      <w:r>
        <w:rPr>
          <w:rFonts w:hint="eastAsia" w:ascii="宋体" w:eastAsia="宋体" w:cs="Times New Roman"/>
          <w:b w:val="0"/>
        </w:rPr>
        <w:t>（一）</w:t>
      </w:r>
      <w:r>
        <w:rPr>
          <w:rFonts w:hint="eastAsia" w:ascii="宋体" w:eastAsia="宋体" w:cs="Times New Roman"/>
          <w:sz w:val="28"/>
        </w:rPr>
        <w:t>投标函</w:t>
      </w:r>
      <w:bookmarkEnd w:id="294"/>
      <w:bookmarkEnd w:id="295"/>
      <w:bookmarkEnd w:id="296"/>
      <w:bookmarkEnd w:id="297"/>
      <w:bookmarkEnd w:id="298"/>
      <w:bookmarkEnd w:id="299"/>
    </w:p>
    <w:bookmarkEnd w:id="300"/>
    <w:p>
      <w:pPr>
        <w:spacing w:line="440" w:lineRule="exact"/>
        <w:rPr>
          <w:rFonts w:ascii="宋体" w:hAnsi="宋体"/>
          <w:sz w:val="20"/>
          <w:szCs w:val="20"/>
        </w:rPr>
      </w:pPr>
      <w:bookmarkStart w:id="301" w:name="_Toc450050392"/>
      <w:bookmarkStart w:id="302" w:name="_Toc451342712"/>
      <w:bookmarkStart w:id="303" w:name="_Toc291847163"/>
    </w:p>
    <w:p>
      <w:pPr>
        <w:spacing w:line="440" w:lineRule="exact"/>
        <w:ind w:firstLine="105" w:firstLineChars="50"/>
        <w:rPr>
          <w:rFonts w:ascii="宋体" w:hAnsi="宋体"/>
          <w:szCs w:val="21"/>
          <w:u w:val="single"/>
        </w:rPr>
      </w:pPr>
      <w:r>
        <w:rPr>
          <w:rFonts w:hint="eastAsia" w:ascii="宋体" w:hAnsi="宋体"/>
          <w:szCs w:val="21"/>
          <w:u w:val="single"/>
        </w:rPr>
        <w:t>（招标人名称）：</w:t>
      </w:r>
    </w:p>
    <w:p>
      <w:pPr>
        <w:spacing w:line="440" w:lineRule="exact"/>
        <w:ind w:firstLine="420" w:firstLineChars="200"/>
        <w:rPr>
          <w:rFonts w:ascii="宋体" w:hAnsi="宋体"/>
          <w:b/>
          <w:kern w:val="0"/>
          <w:szCs w:val="21"/>
        </w:rPr>
      </w:pPr>
      <w:r>
        <w:rPr>
          <w:rFonts w:ascii="宋体" w:hAnsi="宋体"/>
          <w:snapToGrid w:val="0"/>
          <w:kern w:val="0"/>
          <w:szCs w:val="21"/>
        </w:rPr>
        <w:t>1.我方已仔细研究了</w:t>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rPr>
        <w:t>招标文件的全部内容，愿意</w:t>
      </w:r>
      <w:r>
        <w:rPr>
          <w:rFonts w:ascii="宋体" w:hAnsi="宋体"/>
          <w:snapToGrid w:val="0"/>
          <w:kern w:val="0"/>
          <w:szCs w:val="21"/>
        </w:rPr>
        <w:t>以</w:t>
      </w:r>
      <w:r>
        <w:rPr>
          <w:rFonts w:hint="eastAsia" w:ascii="宋体" w:hAnsi="宋体"/>
          <w:b/>
          <w:kern w:val="0"/>
          <w:szCs w:val="21"/>
        </w:rPr>
        <w:t>投标折扣率</w:t>
      </w:r>
      <w:r>
        <w:rPr>
          <w:rFonts w:ascii="宋体" w:hAnsi="宋体"/>
          <w:b/>
          <w:kern w:val="0"/>
          <w:szCs w:val="21"/>
          <w:u w:val="single"/>
        </w:rPr>
        <w:t xml:space="preserve">     </w:t>
      </w:r>
      <w:r>
        <w:rPr>
          <w:rFonts w:hint="eastAsia" w:ascii="宋体" w:hAnsi="宋体"/>
          <w:b/>
          <w:kern w:val="0"/>
          <w:szCs w:val="21"/>
        </w:rPr>
        <w:t>%，</w:t>
      </w:r>
      <w:r>
        <w:rPr>
          <w:rFonts w:ascii="宋体" w:hAnsi="宋体"/>
          <w:b/>
          <w:snapToGrid w:val="0"/>
          <w:kern w:val="0"/>
          <w:szCs w:val="21"/>
        </w:rPr>
        <w:t xml:space="preserve"> </w:t>
      </w:r>
      <w:r>
        <w:rPr>
          <w:rFonts w:hint="eastAsia" w:ascii="宋体" w:hAnsi="宋体"/>
          <w:szCs w:val="21"/>
        </w:rPr>
        <w:t>按合同约定进行实施，修补项目中的任何缺陷，进行科学化管理运营维护所有设施、设备及移交等。</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我方承诺在招标文件规定的投标有效期内不修改、撤销投标文件。</w:t>
      </w:r>
    </w:p>
    <w:p>
      <w:pPr>
        <w:spacing w:line="440" w:lineRule="exact"/>
        <w:ind w:firstLine="420" w:firstLineChars="200"/>
        <w:rPr>
          <w:rFonts w:ascii="宋体" w:hAnsi="宋体"/>
          <w:szCs w:val="21"/>
        </w:rPr>
      </w:pPr>
      <w:r>
        <w:rPr>
          <w:rFonts w:hint="eastAsia" w:ascii="宋体" w:hAnsi="宋体"/>
          <w:szCs w:val="21"/>
        </w:rPr>
        <w:t>3．随同本投标函提交投标保证金一份，金额为人民币（大写</w:t>
      </w:r>
      <w:r>
        <w:rPr>
          <w:rFonts w:ascii="宋体" w:hAnsi="宋体"/>
          <w:szCs w:val="21"/>
          <w:u w:val="single"/>
        </w:rPr>
        <w:t xml:space="preserve">          </w:t>
      </w:r>
      <w:r>
        <w:rPr>
          <w:rFonts w:hint="eastAsia" w:ascii="宋体" w:hAnsi="宋体"/>
          <w:szCs w:val="21"/>
          <w:u w:val="single"/>
        </w:rPr>
        <w:t>）</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4.</w:t>
      </w:r>
      <w:r>
        <w:rPr>
          <w:rFonts w:hint="eastAsia" w:ascii="宋体" w:hAnsi="宋体"/>
          <w:szCs w:val="21"/>
        </w:rPr>
        <w:t>如我方中标：</w:t>
      </w:r>
    </w:p>
    <w:p>
      <w:pPr>
        <w:spacing w:line="440" w:lineRule="exact"/>
        <w:ind w:firstLine="718" w:firstLineChars="342"/>
        <w:rPr>
          <w:rFonts w:ascii="宋体" w:hAnsi="宋体"/>
          <w:szCs w:val="21"/>
        </w:rPr>
      </w:pPr>
      <w:r>
        <w:rPr>
          <w:rFonts w:hint="eastAsia" w:ascii="宋体" w:hAnsi="宋体"/>
          <w:szCs w:val="21"/>
        </w:rPr>
        <w:t>（1）我方承诺在收到中标通知书后，在中标通知书规定的期限内与你方签订合同。</w:t>
      </w:r>
    </w:p>
    <w:p>
      <w:pPr>
        <w:spacing w:line="440" w:lineRule="exact"/>
        <w:ind w:firstLine="718" w:firstLineChars="342"/>
        <w:rPr>
          <w:rFonts w:ascii="宋体" w:hAnsi="宋体"/>
          <w:szCs w:val="21"/>
        </w:rPr>
      </w:pPr>
      <w:r>
        <w:rPr>
          <w:rFonts w:hint="eastAsia" w:ascii="宋体" w:hAnsi="宋体"/>
          <w:szCs w:val="21"/>
        </w:rPr>
        <w:t>（2）本投标函属于合同文件的组成部分。</w:t>
      </w:r>
    </w:p>
    <w:p>
      <w:pPr>
        <w:spacing w:line="440" w:lineRule="exact"/>
        <w:ind w:firstLine="718" w:firstLineChars="342"/>
        <w:rPr>
          <w:rFonts w:ascii="宋体" w:hAnsi="宋体"/>
          <w:szCs w:val="21"/>
        </w:rPr>
      </w:pPr>
      <w:r>
        <w:rPr>
          <w:rFonts w:hint="eastAsia" w:ascii="宋体" w:hAnsi="宋体"/>
          <w:szCs w:val="21"/>
        </w:rPr>
        <w:t>（3）我方承诺按照招标文件规定向你方递交履约担保。</w:t>
      </w:r>
    </w:p>
    <w:p>
      <w:pPr>
        <w:spacing w:line="440" w:lineRule="exact"/>
        <w:ind w:firstLine="718" w:firstLineChars="342"/>
        <w:rPr>
          <w:rFonts w:ascii="宋体" w:hAnsi="宋体"/>
          <w:szCs w:val="21"/>
        </w:rPr>
      </w:pPr>
      <w:r>
        <w:rPr>
          <w:rFonts w:hint="eastAsia" w:ascii="宋体" w:hAnsi="宋体"/>
          <w:szCs w:val="21"/>
        </w:rPr>
        <w:t>（4）我方承诺在合同约定的期限内完成并移交全部合同工程。</w:t>
      </w:r>
    </w:p>
    <w:p>
      <w:pPr>
        <w:spacing w:line="440" w:lineRule="exact"/>
        <w:ind w:firstLine="718" w:firstLineChars="342"/>
        <w:rPr>
          <w:rFonts w:ascii="宋体" w:hAnsi="宋体"/>
          <w:szCs w:val="21"/>
        </w:rPr>
      </w:pPr>
      <w:r>
        <w:rPr>
          <w:rFonts w:hint="eastAsia" w:ascii="宋体" w:hAnsi="宋体"/>
          <w:szCs w:val="21"/>
        </w:rPr>
        <w:t>（5）我方承诺领取中标通知书时，按招标文件的相关规定向招标代理机构缴纳招标代理交易服务费。</w:t>
      </w:r>
    </w:p>
    <w:p>
      <w:pPr>
        <w:spacing w:line="440" w:lineRule="exact"/>
        <w:ind w:firstLine="420" w:firstLineChars="200"/>
        <w:rPr>
          <w:rFonts w:ascii="宋体" w:hAnsi="宋体"/>
          <w:szCs w:val="21"/>
        </w:rPr>
      </w:pPr>
      <w:r>
        <w:rPr>
          <w:rFonts w:ascii="宋体" w:hAnsi="宋体"/>
          <w:szCs w:val="21"/>
        </w:rPr>
        <w:t>5.</w:t>
      </w:r>
      <w:r>
        <w:rPr>
          <w:rFonts w:hint="eastAsia" w:ascii="宋体" w:hAnsi="宋体"/>
        </w:rPr>
        <w:t>我方在此声明，所递交的投标文件及有关资料内容完整、真实和准确，且不存在第二章“投标人须知”第1.4.3项规定的任何一种情形。</w:t>
      </w:r>
    </w:p>
    <w:p>
      <w:pPr>
        <w:spacing w:line="440" w:lineRule="exact"/>
        <w:ind w:firstLine="420" w:firstLineChars="200"/>
        <w:rPr>
          <w:rFonts w:ascii="宋体" w:hAnsi="宋体"/>
          <w:szCs w:val="21"/>
        </w:rPr>
      </w:pPr>
      <w:r>
        <w:rPr>
          <w:rFonts w:hint="eastAsia" w:ascii="宋体" w:hAnsi="宋体"/>
          <w:szCs w:val="21"/>
        </w:rPr>
        <w:t>6．</w:t>
      </w:r>
      <w:r>
        <w:rPr>
          <w:rFonts w:hint="eastAsia" w:ascii="宋体" w:hAnsi="宋体"/>
          <w:szCs w:val="21"/>
          <w:u w:val="single"/>
        </w:rPr>
        <w:t>（其他补充说明）。</w:t>
      </w:r>
    </w:p>
    <w:p>
      <w:pPr>
        <w:spacing w:line="440" w:lineRule="exact"/>
        <w:ind w:firstLine="3675" w:firstLineChars="1750"/>
        <w:rPr>
          <w:rFonts w:ascii="宋体" w:hAnsi="宋体"/>
          <w:szCs w:val="21"/>
          <w:u w:val="single"/>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（盖单位公章）</w:t>
      </w:r>
    </w:p>
    <w:p>
      <w:pPr>
        <w:spacing w:line="440" w:lineRule="exact"/>
        <w:ind w:firstLine="3675" w:firstLineChars="17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（签字或盖章）</w:t>
      </w:r>
    </w:p>
    <w:p>
      <w:pPr>
        <w:spacing w:line="440" w:lineRule="exact"/>
        <w:ind w:firstLine="3675" w:firstLineChars="1750"/>
        <w:rPr>
          <w:rFonts w:ascii="宋体" w:hAnsi="宋体"/>
          <w:szCs w:val="21"/>
          <w:u w:val="single"/>
        </w:rPr>
      </w:pPr>
      <w:r>
        <w:rPr>
          <w:rFonts w:hint="eastAsia" w:ascii="宋体" w:hAnsi="宋体"/>
          <w:szCs w:val="21"/>
        </w:rPr>
        <w:t>地址：</w:t>
      </w:r>
      <w:r>
        <w:rPr>
          <w:rFonts w:ascii="宋体" w:hAnsi="宋体"/>
          <w:szCs w:val="21"/>
          <w:u w:val="single"/>
        </w:rPr>
        <w:t xml:space="preserve">                          </w:t>
      </w:r>
    </w:p>
    <w:p>
      <w:pPr>
        <w:spacing w:line="440" w:lineRule="exact"/>
        <w:ind w:firstLine="3675" w:firstLineChars="1750"/>
        <w:rPr>
          <w:rFonts w:ascii="宋体" w:hAnsi="宋体"/>
          <w:szCs w:val="21"/>
          <w:u w:val="single"/>
        </w:rPr>
      </w:pPr>
      <w:r>
        <w:rPr>
          <w:rFonts w:hint="eastAsia" w:ascii="宋体" w:hAnsi="宋体"/>
          <w:szCs w:val="21"/>
        </w:rPr>
        <w:t>电话：</w:t>
      </w:r>
      <w:r>
        <w:rPr>
          <w:rFonts w:ascii="宋体" w:hAnsi="宋体"/>
          <w:szCs w:val="21"/>
          <w:u w:val="single"/>
        </w:rPr>
        <w:t xml:space="preserve">                        </w:t>
      </w:r>
    </w:p>
    <w:p>
      <w:pPr>
        <w:spacing w:line="440" w:lineRule="exact"/>
        <w:ind w:firstLine="3675" w:firstLineChars="1750"/>
        <w:rPr>
          <w:rFonts w:ascii="宋体" w:hAnsi="宋体"/>
          <w:szCs w:val="21"/>
          <w:u w:val="single"/>
        </w:rPr>
      </w:pPr>
      <w:r>
        <w:rPr>
          <w:rFonts w:ascii="宋体" w:hAnsi="宋体"/>
          <w:szCs w:val="21"/>
        </w:rPr>
        <w:t xml:space="preserve"> </w:t>
      </w:r>
    </w:p>
    <w:p>
      <w:pPr>
        <w:spacing w:line="440" w:lineRule="exact"/>
        <w:ind w:firstLine="5565" w:firstLineChars="2650"/>
        <w:rPr>
          <w:rFonts w:ascii="宋体" w:hAnsi="宋体"/>
          <w:szCs w:val="21"/>
        </w:rPr>
      </w:pPr>
    </w:p>
    <w:p>
      <w:pPr>
        <w:wordWrap w:val="0"/>
        <w:jc w:val="right"/>
        <w:rPr>
          <w:rFonts w:ascii="宋体" w:hAnsi="宋体"/>
        </w:rPr>
      </w:pPr>
      <w:bookmarkStart w:id="304" w:name="_Toc247514249"/>
      <w:bookmarkStart w:id="305" w:name="_Toc152042579"/>
      <w:bookmarkStart w:id="306" w:name="_Toc152045790"/>
      <w:bookmarkStart w:id="307" w:name="_Toc144974859"/>
      <w:bookmarkStart w:id="308" w:name="_Toc247527830"/>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rPr>
          <w:rFonts w:ascii="宋体" w:hAnsi="宋体"/>
        </w:rPr>
      </w:pPr>
    </w:p>
    <w:p>
      <w:pPr>
        <w:rPr>
          <w:rFonts w:ascii="宋体" w:hAnsi="宋体"/>
        </w:rPr>
      </w:pPr>
    </w:p>
    <w:p>
      <w:pPr>
        <w:rPr>
          <w:rFonts w:ascii="宋体" w:hAnsi="宋体"/>
        </w:rPr>
      </w:pPr>
    </w:p>
    <w:p>
      <w:pPr>
        <w:rPr>
          <w:rFonts w:ascii="宋体" w:hAnsi="宋体"/>
        </w:rPr>
      </w:pPr>
    </w:p>
    <w:p>
      <w:pPr>
        <w:pStyle w:val="2"/>
        <w:ind w:left="2160" w:hanging="2160"/>
      </w:pPr>
    </w:p>
    <w:p>
      <w:pPr>
        <w:rPr>
          <w:rFonts w:ascii="宋体" w:hAnsi="宋体"/>
        </w:rPr>
      </w:pPr>
    </w:p>
    <w:bookmarkEnd w:id="304"/>
    <w:bookmarkEnd w:id="305"/>
    <w:bookmarkEnd w:id="306"/>
    <w:bookmarkEnd w:id="307"/>
    <w:bookmarkEnd w:id="308"/>
    <w:p>
      <w:pPr>
        <w:snapToGrid w:val="0"/>
        <w:spacing w:line="500" w:lineRule="exact"/>
        <w:jc w:val="center"/>
        <w:rPr>
          <w:rFonts w:ascii="宋体" w:hAnsi="宋体"/>
          <w:sz w:val="24"/>
        </w:rPr>
      </w:pPr>
      <w:r>
        <w:rPr>
          <w:rFonts w:hint="eastAsia" w:ascii="宋体" w:hAnsi="宋体"/>
          <w:sz w:val="24"/>
        </w:rPr>
        <w:t>（一）投标函附录</w:t>
      </w:r>
    </w:p>
    <w:p>
      <w:pPr>
        <w:spacing w:line="500" w:lineRule="exact"/>
        <w:ind w:firstLine="240" w:firstLineChars="100"/>
        <w:rPr>
          <w:rFonts w:ascii="宋体" w:hAnsi="宋体"/>
          <w:sz w:val="24"/>
        </w:rPr>
      </w:pPr>
      <w:r>
        <w:rPr>
          <w:rFonts w:hint="eastAsia" w:ascii="宋体" w:hAnsi="宋体"/>
          <w:sz w:val="24"/>
        </w:rPr>
        <w:t>招标项目名称：</w:t>
      </w:r>
    </w:p>
    <w:tbl>
      <w:tblPr>
        <w:tblStyle w:val="52"/>
        <w:tblW w:w="8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8"/>
        <w:gridCol w:w="1671"/>
        <w:gridCol w:w="904"/>
        <w:gridCol w:w="1885"/>
        <w:gridCol w:w="99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1505" w:type="dxa"/>
            <w:vAlign w:val="center"/>
          </w:tcPr>
          <w:p>
            <w:pPr>
              <w:spacing w:line="500" w:lineRule="exact"/>
              <w:jc w:val="center"/>
              <w:rPr>
                <w:rFonts w:ascii="宋体" w:hAnsi="宋体"/>
                <w:sz w:val="24"/>
              </w:rPr>
            </w:pPr>
            <w:r>
              <w:rPr>
                <w:rFonts w:hint="eastAsia" w:ascii="宋体" w:hAnsi="宋体"/>
                <w:sz w:val="24"/>
              </w:rPr>
              <w:t>投标人名称</w:t>
            </w:r>
          </w:p>
        </w:tc>
        <w:tc>
          <w:tcPr>
            <w:tcW w:w="6599" w:type="dxa"/>
            <w:gridSpan w:val="6"/>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1523" w:type="dxa"/>
            <w:gridSpan w:val="2"/>
            <w:vAlign w:val="center"/>
          </w:tcPr>
          <w:p>
            <w:pPr>
              <w:spacing w:line="500" w:lineRule="exact"/>
              <w:jc w:val="center"/>
              <w:rPr>
                <w:rFonts w:ascii="宋体" w:hAnsi="宋体"/>
                <w:sz w:val="24"/>
              </w:rPr>
            </w:pPr>
            <w:r>
              <w:rPr>
                <w:rFonts w:hint="eastAsia" w:ascii="宋体" w:hAnsi="宋体"/>
                <w:sz w:val="24"/>
              </w:rPr>
              <w:t>项目号</w:t>
            </w:r>
          </w:p>
        </w:tc>
        <w:tc>
          <w:tcPr>
            <w:tcW w:w="1671" w:type="dxa"/>
            <w:vAlign w:val="center"/>
          </w:tcPr>
          <w:p>
            <w:pPr>
              <w:spacing w:line="500" w:lineRule="exact"/>
              <w:jc w:val="center"/>
              <w:rPr>
                <w:rFonts w:ascii="宋体" w:hAnsi="宋体"/>
                <w:sz w:val="24"/>
              </w:rPr>
            </w:pPr>
            <w:r>
              <w:rPr>
                <w:rFonts w:hint="eastAsia" w:ascii="宋体" w:hAnsi="宋体"/>
                <w:sz w:val="24"/>
              </w:rPr>
              <w:t>项目名称</w:t>
            </w:r>
          </w:p>
        </w:tc>
        <w:tc>
          <w:tcPr>
            <w:tcW w:w="904" w:type="dxa"/>
            <w:vAlign w:val="center"/>
          </w:tcPr>
          <w:p>
            <w:pPr>
              <w:spacing w:line="500" w:lineRule="exact"/>
              <w:jc w:val="center"/>
              <w:rPr>
                <w:rFonts w:ascii="宋体" w:hAnsi="宋体"/>
                <w:sz w:val="24"/>
              </w:rPr>
            </w:pPr>
            <w:r>
              <w:rPr>
                <w:rFonts w:hint="eastAsia" w:ascii="宋体" w:hAnsi="宋体"/>
                <w:sz w:val="24"/>
              </w:rPr>
              <w:t>数量</w:t>
            </w:r>
          </w:p>
        </w:tc>
        <w:tc>
          <w:tcPr>
            <w:tcW w:w="1885" w:type="dxa"/>
            <w:vAlign w:val="center"/>
          </w:tcPr>
          <w:p>
            <w:pPr>
              <w:snapToGrid w:val="0"/>
              <w:spacing w:line="240" w:lineRule="atLeast"/>
              <w:jc w:val="center"/>
              <w:rPr>
                <w:rFonts w:ascii="宋体" w:hAnsi="宋体"/>
                <w:sz w:val="24"/>
              </w:rPr>
            </w:pPr>
            <w:r>
              <w:rPr>
                <w:rFonts w:hint="eastAsia" w:ascii="宋体" w:hAnsi="宋体"/>
                <w:sz w:val="24"/>
              </w:rPr>
              <w:t>投标报价</w:t>
            </w:r>
          </w:p>
          <w:p>
            <w:pPr>
              <w:snapToGrid w:val="0"/>
              <w:spacing w:line="240" w:lineRule="atLeast"/>
              <w:jc w:val="center"/>
              <w:rPr>
                <w:rFonts w:ascii="宋体" w:hAnsi="宋体"/>
                <w:sz w:val="24"/>
              </w:rPr>
            </w:pPr>
            <w:r>
              <w:rPr>
                <w:rFonts w:hint="eastAsia" w:ascii="宋体" w:hAnsi="宋体"/>
                <w:sz w:val="24"/>
              </w:rPr>
              <w:t>（折扣率）%</w:t>
            </w:r>
          </w:p>
        </w:tc>
        <w:tc>
          <w:tcPr>
            <w:tcW w:w="990" w:type="dxa"/>
            <w:vAlign w:val="center"/>
          </w:tcPr>
          <w:p>
            <w:pPr>
              <w:spacing w:line="500" w:lineRule="exact"/>
              <w:jc w:val="center"/>
              <w:rPr>
                <w:rFonts w:ascii="宋体" w:hAnsi="宋体"/>
                <w:sz w:val="24"/>
              </w:rPr>
            </w:pPr>
            <w:r>
              <w:rPr>
                <w:rFonts w:hint="eastAsia" w:ascii="宋体" w:hAnsi="宋体"/>
                <w:sz w:val="24"/>
              </w:rPr>
              <w:t>服务时间</w:t>
            </w:r>
          </w:p>
        </w:tc>
        <w:tc>
          <w:tcPr>
            <w:tcW w:w="1131" w:type="dxa"/>
            <w:vAlign w:val="center"/>
          </w:tcPr>
          <w:p>
            <w:pPr>
              <w:spacing w:line="500" w:lineRule="exact"/>
              <w:jc w:val="center"/>
              <w:rPr>
                <w:rFonts w:ascii="宋体" w:hAnsi="宋体"/>
                <w:sz w:val="24"/>
              </w:rPr>
            </w:pPr>
            <w:r>
              <w:rPr>
                <w:rFonts w:hint="eastAsia" w:ascii="宋体" w:hAnsi="宋体"/>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523" w:type="dxa"/>
            <w:gridSpan w:val="2"/>
            <w:tcBorders>
              <w:bottom w:val="single" w:color="auto" w:sz="4" w:space="0"/>
            </w:tcBorders>
            <w:vAlign w:val="center"/>
          </w:tcPr>
          <w:p>
            <w:pPr>
              <w:spacing w:line="500" w:lineRule="exact"/>
              <w:rPr>
                <w:rFonts w:ascii="宋体" w:hAnsi="宋体"/>
                <w:sz w:val="24"/>
              </w:rPr>
            </w:pPr>
          </w:p>
        </w:tc>
        <w:tc>
          <w:tcPr>
            <w:tcW w:w="1671" w:type="dxa"/>
            <w:tcBorders>
              <w:bottom w:val="single" w:color="auto" w:sz="4" w:space="0"/>
            </w:tcBorders>
            <w:vAlign w:val="center"/>
          </w:tcPr>
          <w:p>
            <w:pPr>
              <w:spacing w:line="500" w:lineRule="exact"/>
              <w:rPr>
                <w:rFonts w:ascii="宋体" w:hAnsi="宋体"/>
                <w:sz w:val="24"/>
              </w:rPr>
            </w:pPr>
          </w:p>
        </w:tc>
        <w:tc>
          <w:tcPr>
            <w:tcW w:w="904" w:type="dxa"/>
            <w:tcBorders>
              <w:bottom w:val="single" w:color="auto" w:sz="4" w:space="0"/>
            </w:tcBorders>
          </w:tcPr>
          <w:p>
            <w:pPr>
              <w:spacing w:line="500" w:lineRule="exact"/>
              <w:rPr>
                <w:rFonts w:ascii="宋体" w:hAnsi="宋体"/>
                <w:sz w:val="24"/>
              </w:rPr>
            </w:pPr>
          </w:p>
        </w:tc>
        <w:tc>
          <w:tcPr>
            <w:tcW w:w="1885" w:type="dxa"/>
            <w:tcBorders>
              <w:bottom w:val="single" w:color="auto" w:sz="4" w:space="0"/>
            </w:tcBorders>
          </w:tcPr>
          <w:p>
            <w:pPr>
              <w:spacing w:line="500" w:lineRule="exact"/>
              <w:rPr>
                <w:rFonts w:ascii="宋体" w:hAnsi="宋体"/>
                <w:sz w:val="24"/>
              </w:rPr>
            </w:pPr>
          </w:p>
        </w:tc>
        <w:tc>
          <w:tcPr>
            <w:tcW w:w="990" w:type="dxa"/>
            <w:tcBorders>
              <w:bottom w:val="single" w:color="auto" w:sz="4" w:space="0"/>
            </w:tcBorders>
          </w:tcPr>
          <w:p>
            <w:pPr>
              <w:spacing w:line="500" w:lineRule="exact"/>
              <w:rPr>
                <w:rFonts w:ascii="宋体" w:hAnsi="宋体"/>
                <w:sz w:val="24"/>
              </w:rPr>
            </w:pPr>
          </w:p>
        </w:tc>
        <w:tc>
          <w:tcPr>
            <w:tcW w:w="1131" w:type="dxa"/>
            <w:tcBorders>
              <w:bottom w:val="single" w:color="auto" w:sz="4" w:space="0"/>
            </w:tcBorders>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8104" w:type="dxa"/>
            <w:gridSpan w:val="7"/>
            <w:vAlign w:val="center"/>
          </w:tcPr>
          <w:p>
            <w:pPr>
              <w:pStyle w:val="30"/>
              <w:spacing w:line="500" w:lineRule="exact"/>
              <w:ind w:left="99" w:leftChars="47"/>
              <w:jc w:val="left"/>
              <w:rPr>
                <w:rFonts w:ascii="宋体" w:hAnsi="宋体"/>
                <w:sz w:val="24"/>
              </w:rPr>
            </w:pPr>
            <w:r>
              <w:rPr>
                <w:rFonts w:hint="eastAsia" w:ascii="宋体" w:hAnsi="宋体"/>
                <w:sz w:val="24"/>
              </w:rPr>
              <w:t xml:space="preserve">备注： </w:t>
            </w:r>
          </w:p>
        </w:tc>
      </w:tr>
    </w:tbl>
    <w:p>
      <w:pPr>
        <w:pStyle w:val="30"/>
        <w:spacing w:line="500" w:lineRule="exact"/>
        <w:ind w:left="5250"/>
        <w:rPr>
          <w:rFonts w:ascii="宋体" w:hAnsi="宋体"/>
          <w:sz w:val="24"/>
        </w:rPr>
      </w:pPr>
    </w:p>
    <w:p>
      <w:pPr>
        <w:rPr>
          <w:rFonts w:ascii="宋体" w:hAnsi="宋体"/>
          <w:sz w:val="24"/>
        </w:rPr>
      </w:pPr>
    </w:p>
    <w:p>
      <w:pPr>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投标人                               法定代表人或法定代表人授权代表：</w:t>
      </w:r>
    </w:p>
    <w:p>
      <w:pPr>
        <w:spacing w:line="500" w:lineRule="exact"/>
        <w:rPr>
          <w:rFonts w:ascii="宋体" w:hAnsi="宋体"/>
          <w:sz w:val="24"/>
        </w:rPr>
      </w:pPr>
      <w:r>
        <w:rPr>
          <w:rFonts w:hint="eastAsia" w:ascii="宋体" w:hAnsi="宋体"/>
          <w:sz w:val="24"/>
        </w:rPr>
        <w:t xml:space="preserve">  （投标人公章）                               （签字或盖章）</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年     月     日</w:t>
      </w:r>
    </w:p>
    <w:p>
      <w:pPr>
        <w:snapToGrid w:val="0"/>
        <w:spacing w:line="500" w:lineRule="exact"/>
        <w:ind w:firstLine="480" w:firstLineChars="200"/>
        <w:rPr>
          <w:rFonts w:ascii="宋体" w:hAnsi="宋体"/>
          <w:sz w:val="24"/>
        </w:rPr>
      </w:pPr>
    </w:p>
    <w:p>
      <w:pPr>
        <w:rPr>
          <w:rFonts w:ascii="宋体" w:hAnsi="宋体"/>
        </w:rPr>
      </w:pPr>
    </w:p>
    <w:p>
      <w:pPr>
        <w:widowControl/>
        <w:jc w:val="left"/>
        <w:rPr>
          <w:rFonts w:ascii="宋体" w:hAnsi="宋体"/>
          <w:b/>
          <w:sz w:val="28"/>
          <w:szCs w:val="28"/>
        </w:rPr>
      </w:pPr>
      <w:r>
        <w:rPr>
          <w:rFonts w:ascii="宋体"/>
          <w:sz w:val="28"/>
        </w:rPr>
        <w:br w:type="page"/>
      </w:r>
    </w:p>
    <w:bookmarkEnd w:id="301"/>
    <w:bookmarkEnd w:id="302"/>
    <w:bookmarkEnd w:id="303"/>
    <w:p>
      <w:pPr>
        <w:widowControl/>
        <w:jc w:val="left"/>
        <w:rPr>
          <w:rFonts w:ascii="宋体" w:hAnsi="宋体"/>
          <w:b/>
          <w:sz w:val="28"/>
          <w:szCs w:val="28"/>
        </w:rPr>
      </w:pPr>
      <w:bookmarkStart w:id="309" w:name="_Toc291847166"/>
      <w:bookmarkStart w:id="310" w:name="_Toc451342714"/>
      <w:bookmarkStart w:id="311" w:name="_Toc65770015"/>
      <w:bookmarkStart w:id="312" w:name="_Toc73546961"/>
      <w:r>
        <w:rPr>
          <w:rFonts w:hint="eastAsia" w:ascii="宋体"/>
          <w:bCs/>
          <w:sz w:val="32"/>
        </w:rPr>
        <w:t>二、</w:t>
      </w:r>
      <w:bookmarkEnd w:id="309"/>
      <w:bookmarkEnd w:id="310"/>
      <w:r>
        <w:rPr>
          <w:rFonts w:hint="eastAsia" w:ascii="宋体"/>
          <w:bCs/>
          <w:sz w:val="32"/>
        </w:rPr>
        <w:t>资格审查资料（含商务部分）</w:t>
      </w:r>
      <w:bookmarkEnd w:id="311"/>
      <w:bookmarkEnd w:id="312"/>
      <w:bookmarkStart w:id="313" w:name="_Toc12406"/>
      <w:bookmarkStart w:id="314" w:name="_Toc287607883"/>
      <w:bookmarkStart w:id="315" w:name="_Toc277082657"/>
      <w:bookmarkStart w:id="316" w:name="_Toc451342724"/>
      <w:bookmarkStart w:id="317" w:name="_Toc450050404"/>
      <w:bookmarkStart w:id="318" w:name="_Toc287620830"/>
    </w:p>
    <w:p>
      <w:pPr>
        <w:pStyle w:val="5"/>
        <w:spacing w:line="288" w:lineRule="auto"/>
        <w:jc w:val="both"/>
        <w:rPr>
          <w:rFonts w:ascii="宋体" w:eastAsia="宋体" w:cs="Times New Roman"/>
          <w:b w:val="0"/>
          <w:sz w:val="28"/>
        </w:rPr>
      </w:pPr>
      <w:r>
        <w:rPr>
          <w:rFonts w:hint="eastAsia" w:ascii="宋体" w:eastAsia="宋体" w:cs="Times New Roman"/>
          <w:sz w:val="28"/>
        </w:rPr>
        <w:t>（一）法定代表人身份证明及授权委托书</w:t>
      </w:r>
      <w:bookmarkEnd w:id="313"/>
      <w:bookmarkEnd w:id="314"/>
      <w:bookmarkEnd w:id="315"/>
      <w:bookmarkEnd w:id="316"/>
      <w:bookmarkEnd w:id="317"/>
      <w:bookmarkEnd w:id="318"/>
    </w:p>
    <w:p>
      <w:pPr>
        <w:spacing w:line="288" w:lineRule="auto"/>
        <w:jc w:val="center"/>
        <w:rPr>
          <w:rFonts w:ascii="宋体" w:hAnsi="宋体"/>
          <w:b/>
        </w:rPr>
      </w:pPr>
      <w:r>
        <w:rPr>
          <w:rFonts w:hint="eastAsia" w:ascii="宋体" w:hAnsi="宋体"/>
          <w:b/>
          <w:sz w:val="28"/>
        </w:rPr>
        <w:t>法定代表人身份证明</w:t>
      </w:r>
    </w:p>
    <w:p>
      <w:pPr>
        <w:spacing w:line="288" w:lineRule="auto"/>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投标人名称：</w:t>
      </w:r>
      <w:r>
        <w:rPr>
          <w:rFonts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单位性质：</w:t>
      </w:r>
      <w:r>
        <w:rPr>
          <w:rFonts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地址：</w:t>
      </w:r>
      <w:r>
        <w:rPr>
          <w:rFonts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hint="eastAsia" w:ascii="宋体" w:hAnsi="宋体"/>
          <w:kern w:val="0"/>
          <w:szCs w:val="21"/>
        </w:rPr>
        <w:t>成立时间：</w:t>
      </w:r>
      <w:r>
        <w:rPr>
          <w:rFonts w:ascii="宋体" w:hAnsi="宋体"/>
          <w:kern w:val="0"/>
          <w:szCs w:val="21"/>
          <w:u w:val="single"/>
        </w:rPr>
        <w:tab/>
      </w:r>
      <w:r>
        <w:rPr>
          <w:rFonts w:hint="eastAsia" w:ascii="宋体" w:hAnsi="宋体"/>
          <w:spacing w:val="-1"/>
          <w:kern w:val="0"/>
          <w:szCs w:val="21"/>
        </w:rPr>
        <w:t>年</w:t>
      </w:r>
      <w:r>
        <w:rPr>
          <w:rFonts w:ascii="宋体" w:hAnsi="宋体"/>
          <w:kern w:val="0"/>
          <w:szCs w:val="21"/>
          <w:u w:val="single"/>
        </w:rPr>
        <w:tab/>
      </w:r>
      <w:r>
        <w:rPr>
          <w:rFonts w:hint="eastAsia" w:ascii="宋体" w:hAnsi="宋体"/>
          <w:spacing w:val="-1"/>
          <w:kern w:val="0"/>
          <w:szCs w:val="21"/>
        </w:rPr>
        <w:t>月</w:t>
      </w:r>
      <w:r>
        <w:rPr>
          <w:rFonts w:hint="eastAsia"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经营期限：</w:t>
      </w:r>
      <w:r>
        <w:rPr>
          <w:rFonts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姓名：</w:t>
      </w:r>
      <w:r>
        <w:rPr>
          <w:rFonts w:ascii="宋体" w:hAnsi="宋体"/>
          <w:kern w:val="0"/>
          <w:szCs w:val="21"/>
          <w:u w:val="single"/>
        </w:rPr>
        <w:tab/>
      </w:r>
      <w:r>
        <w:rPr>
          <w:rFonts w:hint="eastAsia" w:ascii="宋体" w:hAnsi="宋体"/>
          <w:kern w:val="0"/>
          <w:szCs w:val="21"/>
        </w:rPr>
        <w:t>性别</w:t>
      </w:r>
      <w:r>
        <w:rPr>
          <w:rFonts w:hint="eastAsia" w:ascii="宋体" w:hAnsi="宋体"/>
          <w:spacing w:val="-1"/>
          <w:kern w:val="0"/>
          <w:szCs w:val="21"/>
        </w:rPr>
        <w:t>：</w:t>
      </w:r>
      <w:r>
        <w:rPr>
          <w:rFonts w:ascii="宋体" w:hAnsi="宋体"/>
          <w:kern w:val="0"/>
          <w:szCs w:val="21"/>
          <w:u w:val="single"/>
        </w:rPr>
        <w:tab/>
      </w:r>
      <w:r>
        <w:rPr>
          <w:rFonts w:hint="eastAsia" w:ascii="宋体" w:hAnsi="宋体"/>
          <w:spacing w:val="-1"/>
          <w:kern w:val="0"/>
          <w:szCs w:val="21"/>
        </w:rPr>
        <w:t>年</w:t>
      </w:r>
      <w:r>
        <w:rPr>
          <w:rFonts w:hint="eastAsia" w:ascii="宋体" w:hAnsi="宋体"/>
          <w:kern w:val="0"/>
          <w:szCs w:val="21"/>
        </w:rPr>
        <w:t>龄：</w:t>
      </w:r>
      <w:r>
        <w:rPr>
          <w:rFonts w:ascii="宋体" w:hAnsi="宋体"/>
          <w:kern w:val="0"/>
          <w:szCs w:val="21"/>
          <w:u w:val="single"/>
        </w:rPr>
        <w:tab/>
      </w:r>
      <w:r>
        <w:rPr>
          <w:rFonts w:hint="eastAsia" w:ascii="宋体" w:hAnsi="宋体"/>
          <w:kern w:val="0"/>
          <w:szCs w:val="21"/>
        </w:rPr>
        <w:t>职务：</w:t>
      </w:r>
      <w:r>
        <w:rPr>
          <w:rFonts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系</w:t>
      </w:r>
      <w:r>
        <w:rPr>
          <w:rFonts w:ascii="宋体" w:hAnsi="宋体"/>
          <w:kern w:val="0"/>
          <w:szCs w:val="21"/>
          <w:u w:val="single"/>
        </w:rPr>
        <w:tab/>
      </w:r>
      <w:r>
        <w:rPr>
          <w:rFonts w:hint="eastAsia" w:ascii="宋体" w:hAnsi="宋体"/>
          <w:kern w:val="0"/>
          <w:szCs w:val="21"/>
        </w:rPr>
        <w:t>（投标人名称）的法定代表人。</w:t>
      </w:r>
    </w:p>
    <w:p>
      <w:pPr>
        <w:autoSpaceDE w:val="0"/>
        <w:autoSpaceDN w:val="0"/>
        <w:adjustRightInd w:val="0"/>
        <w:snapToGrid w:val="0"/>
        <w:spacing w:line="288" w:lineRule="auto"/>
        <w:ind w:firstLine="186" w:firstLineChars="186"/>
        <w:jc w:val="left"/>
        <w:rPr>
          <w:rFonts w:ascii="宋体" w:hAnsi="宋体"/>
          <w:kern w:val="0"/>
          <w:sz w:val="10"/>
          <w:szCs w:val="10"/>
        </w:rPr>
      </w:pPr>
    </w:p>
    <w:p>
      <w:pPr>
        <w:autoSpaceDE w:val="0"/>
        <w:autoSpaceDN w:val="0"/>
        <w:adjustRightInd w:val="0"/>
        <w:snapToGrid w:val="0"/>
        <w:spacing w:line="288" w:lineRule="auto"/>
        <w:ind w:firstLine="810" w:firstLineChars="386"/>
        <w:jc w:val="left"/>
        <w:rPr>
          <w:rFonts w:ascii="宋体" w:hAnsi="宋体"/>
          <w:kern w:val="0"/>
          <w:szCs w:val="21"/>
        </w:rPr>
      </w:pPr>
      <w:r>
        <w:rPr>
          <w:rFonts w:hint="eastAsia" w:ascii="宋体" w:hAnsi="宋体"/>
          <w:kern w:val="0"/>
          <w:szCs w:val="21"/>
        </w:rPr>
        <w:t>特此证明。</w:t>
      </w: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tabs>
          <w:tab w:val="left" w:pos="5460"/>
        </w:tabs>
        <w:autoSpaceDE w:val="0"/>
        <w:autoSpaceDN w:val="0"/>
        <w:adjustRightInd w:val="0"/>
        <w:snapToGrid w:val="0"/>
        <w:spacing w:line="288" w:lineRule="auto"/>
        <w:ind w:firstLine="2100"/>
        <w:jc w:val="left"/>
        <w:rPr>
          <w:rFonts w:ascii="宋体" w:hAnsi="宋体"/>
          <w:kern w:val="0"/>
          <w:szCs w:val="21"/>
        </w:rPr>
      </w:pPr>
      <w:r>
        <w:rPr>
          <w:rFonts w:hint="eastAsia" w:ascii="宋体" w:hAnsi="宋体"/>
          <w:kern w:val="0"/>
          <w:szCs w:val="21"/>
        </w:rPr>
        <w:t>投标</w:t>
      </w:r>
      <w:r>
        <w:rPr>
          <w:rFonts w:hint="eastAsia" w:ascii="宋体" w:hAnsi="宋体"/>
          <w:spacing w:val="-1"/>
          <w:kern w:val="0"/>
          <w:szCs w:val="21"/>
        </w:rPr>
        <w:t>人</w:t>
      </w:r>
      <w:r>
        <w:rPr>
          <w:rFonts w:hint="eastAsia" w:ascii="宋体" w:hAnsi="宋体"/>
          <w:kern w:val="0"/>
          <w:szCs w:val="21"/>
        </w:rPr>
        <w:t>：</w:t>
      </w:r>
      <w:r>
        <w:rPr>
          <w:rFonts w:ascii="宋体" w:hAnsi="宋体"/>
          <w:kern w:val="0"/>
          <w:szCs w:val="21"/>
          <w:u w:val="single"/>
        </w:rPr>
        <w:tab/>
      </w:r>
      <w:r>
        <w:rPr>
          <w:rFonts w:hint="eastAsia" w:ascii="宋体" w:hAnsi="宋体"/>
          <w:spacing w:val="-1"/>
          <w:kern w:val="0"/>
          <w:szCs w:val="21"/>
        </w:rPr>
        <w:t>（</w:t>
      </w:r>
      <w:r>
        <w:rPr>
          <w:rFonts w:hint="eastAsia" w:ascii="宋体" w:hAnsi="宋体"/>
          <w:kern w:val="0"/>
          <w:szCs w:val="21"/>
        </w:rPr>
        <w:t>盖单位公章）</w:t>
      </w:r>
    </w:p>
    <w:p>
      <w:pPr>
        <w:autoSpaceDE w:val="0"/>
        <w:autoSpaceDN w:val="0"/>
        <w:adjustRightInd w:val="0"/>
        <w:snapToGrid w:val="0"/>
        <w:spacing w:line="288" w:lineRule="auto"/>
        <w:jc w:val="left"/>
        <w:rPr>
          <w:rFonts w:ascii="宋体" w:hAnsi="宋体"/>
          <w:kern w:val="0"/>
          <w:sz w:val="20"/>
          <w:szCs w:val="20"/>
        </w:rPr>
      </w:pPr>
    </w:p>
    <w:p>
      <w:pPr>
        <w:tabs>
          <w:tab w:val="left" w:pos="4935"/>
          <w:tab w:val="left" w:pos="5460"/>
          <w:tab w:val="left" w:pos="6400"/>
        </w:tabs>
        <w:autoSpaceDE w:val="0"/>
        <w:autoSpaceDN w:val="0"/>
        <w:adjustRightInd w:val="0"/>
        <w:snapToGrid w:val="0"/>
        <w:spacing w:line="288" w:lineRule="auto"/>
        <w:ind w:firstLine="3780"/>
        <w:jc w:val="left"/>
        <w:rPr>
          <w:rFonts w:ascii="宋体" w:hAnsi="宋体"/>
          <w:kern w:val="0"/>
          <w:szCs w:val="21"/>
        </w:rPr>
      </w:pPr>
      <w:r>
        <w:rPr>
          <w:rFonts w:ascii="宋体" w:hAnsi="宋体"/>
          <w:kern w:val="0"/>
          <w:szCs w:val="21"/>
          <w:u w:val="single"/>
        </w:rPr>
        <w:tab/>
      </w:r>
      <w:r>
        <w:rPr>
          <w:rFonts w:hint="eastAsia" w:ascii="宋体" w:hAnsi="宋体"/>
          <w:spacing w:val="-1"/>
          <w:kern w:val="0"/>
          <w:szCs w:val="21"/>
        </w:rPr>
        <w:t>年</w:t>
      </w:r>
      <w:r>
        <w:rPr>
          <w:rFonts w:hint="eastAsia" w:ascii="宋体" w:hAnsi="宋体"/>
          <w:kern w:val="0"/>
          <w:szCs w:val="21"/>
        </w:rPr>
        <w:t>月日</w:t>
      </w:r>
    </w:p>
    <w:p>
      <w:pPr>
        <w:autoSpaceDE w:val="0"/>
        <w:autoSpaceDN w:val="0"/>
        <w:adjustRightInd w:val="0"/>
        <w:snapToGrid w:val="0"/>
        <w:spacing w:line="288" w:lineRule="auto"/>
        <w:jc w:val="left"/>
        <w:rPr>
          <w:rFonts w:ascii="宋体" w:hAnsi="宋体"/>
          <w:kern w:val="0"/>
        </w:rPr>
      </w:pPr>
    </w:p>
    <w:tbl>
      <w:tblPr>
        <w:tblStyle w:val="52"/>
        <w:tblpPr w:leftFromText="180" w:rightFromText="180" w:vertAnchor="text" w:horzAnchor="margin" w:tblpY="1275"/>
        <w:tblW w:w="8613"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861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8613"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jc w:val="center"/>
              <w:rPr>
                <w:rFonts w:ascii="宋体" w:hAnsi="宋体"/>
                <w:b/>
                <w:szCs w:val="21"/>
              </w:rPr>
            </w:pPr>
            <w:r>
              <w:rPr>
                <w:rFonts w:hint="eastAsia" w:ascii="宋体" w:hAnsi="宋体"/>
                <w:b/>
                <w:szCs w:val="21"/>
              </w:rPr>
              <w:t>法定代表人身份证复印件或扫描件</w:t>
            </w:r>
          </w:p>
          <w:p>
            <w:pPr>
              <w:spacing w:line="288" w:lineRule="auto"/>
              <w:rPr>
                <w:rFonts w:ascii="宋体" w:hAnsi="宋体"/>
                <w:b/>
                <w:szCs w:val="21"/>
              </w:rPr>
            </w:pPr>
          </w:p>
          <w:p>
            <w:pPr>
              <w:spacing w:line="288" w:lineRule="auto"/>
              <w:rPr>
                <w:rFonts w:ascii="宋体" w:hAnsi="宋体"/>
                <w:b/>
                <w:szCs w:val="21"/>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rPr>
          <w:rFonts w:ascii="宋体" w:hAnsi="宋体"/>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b/>
          <w:kern w:val="0"/>
          <w:sz w:val="28"/>
          <w:szCs w:val="28"/>
        </w:rPr>
      </w:pPr>
      <w:r>
        <w:rPr>
          <w:rFonts w:hint="eastAsia" w:ascii="宋体" w:hAnsi="宋体"/>
          <w:b/>
          <w:kern w:val="0"/>
          <w:sz w:val="28"/>
          <w:szCs w:val="28"/>
        </w:rPr>
        <w:t>授权委托书</w:t>
      </w:r>
      <w:r>
        <w:rPr>
          <w:rFonts w:ascii="宋体" w:hAnsi="宋体"/>
          <w:b/>
          <w:kern w:val="0"/>
          <w:sz w:val="28"/>
          <w:szCs w:val="28"/>
        </w:rPr>
        <w:t xml:space="preserve"> </w:t>
      </w:r>
    </w:p>
    <w:p>
      <w:pPr>
        <w:autoSpaceDE w:val="0"/>
        <w:autoSpaceDN w:val="0"/>
        <w:adjustRightInd w:val="0"/>
        <w:snapToGrid w:val="0"/>
        <w:spacing w:line="288" w:lineRule="auto"/>
        <w:jc w:val="left"/>
        <w:rPr>
          <w:rFonts w:ascii="宋体" w:hAnsi="宋体"/>
          <w:kern w:val="0"/>
          <w:sz w:val="12"/>
          <w:szCs w:val="12"/>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tabs>
          <w:tab w:val="left" w:pos="1680"/>
          <w:tab w:val="left" w:pos="4655"/>
          <w:tab w:val="left" w:pos="8000"/>
        </w:tabs>
        <w:autoSpaceDE w:val="0"/>
        <w:autoSpaceDN w:val="0"/>
        <w:adjustRightInd w:val="0"/>
        <w:snapToGrid w:val="0"/>
        <w:spacing w:line="288" w:lineRule="auto"/>
        <w:ind w:firstLine="420"/>
        <w:rPr>
          <w:rFonts w:ascii="宋体" w:hAnsi="宋体"/>
          <w:kern w:val="0"/>
          <w:szCs w:val="21"/>
        </w:rPr>
      </w:pPr>
      <w:r>
        <w:rPr>
          <w:rFonts w:hint="eastAsia" w:ascii="宋体" w:hAnsi="宋体"/>
          <w:kern w:val="0"/>
          <w:szCs w:val="21"/>
        </w:rPr>
        <w:t>本人</w:t>
      </w:r>
      <w:r>
        <w:rPr>
          <w:rFonts w:ascii="宋体" w:hAnsi="宋体"/>
          <w:kern w:val="0"/>
          <w:szCs w:val="21"/>
          <w:u w:val="single"/>
        </w:rPr>
        <w:tab/>
      </w:r>
      <w:r>
        <w:rPr>
          <w:rFonts w:hint="eastAsia" w:ascii="宋体" w:hAnsi="宋体"/>
          <w:kern w:val="0"/>
          <w:szCs w:val="21"/>
        </w:rPr>
        <w:t>（姓名）系</w:t>
      </w:r>
      <w:r>
        <w:rPr>
          <w:rFonts w:ascii="宋体" w:hAnsi="宋体"/>
          <w:kern w:val="0"/>
          <w:szCs w:val="21"/>
          <w:u w:val="single"/>
        </w:rPr>
        <w:tab/>
      </w:r>
      <w:r>
        <w:rPr>
          <w:rFonts w:hint="eastAsia" w:ascii="宋体" w:hAnsi="宋体"/>
          <w:kern w:val="0"/>
          <w:szCs w:val="21"/>
        </w:rPr>
        <w:t>（</w:t>
      </w:r>
      <w:r>
        <w:rPr>
          <w:rFonts w:hint="eastAsia" w:ascii="宋体" w:hAnsi="宋体"/>
          <w:spacing w:val="-1"/>
          <w:kern w:val="0"/>
          <w:szCs w:val="21"/>
        </w:rPr>
        <w:t>投</w:t>
      </w:r>
      <w:r>
        <w:rPr>
          <w:rFonts w:hint="eastAsia" w:ascii="宋体" w:hAnsi="宋体"/>
          <w:kern w:val="0"/>
          <w:szCs w:val="21"/>
        </w:rPr>
        <w:t>标人名称</w:t>
      </w:r>
      <w:r>
        <w:rPr>
          <w:rFonts w:hint="eastAsia" w:ascii="宋体" w:hAnsi="宋体"/>
          <w:spacing w:val="1"/>
          <w:kern w:val="0"/>
          <w:szCs w:val="21"/>
        </w:rPr>
        <w:t>）</w:t>
      </w:r>
      <w:r>
        <w:rPr>
          <w:rFonts w:hint="eastAsia" w:ascii="宋体" w:hAnsi="宋体"/>
          <w:kern w:val="0"/>
          <w:szCs w:val="21"/>
        </w:rPr>
        <w:t>的法定代</w:t>
      </w:r>
      <w:r>
        <w:rPr>
          <w:rFonts w:hint="eastAsia" w:ascii="宋体" w:hAnsi="宋体"/>
          <w:spacing w:val="1"/>
          <w:kern w:val="0"/>
          <w:szCs w:val="21"/>
        </w:rPr>
        <w:t>表</w:t>
      </w:r>
      <w:r>
        <w:rPr>
          <w:rFonts w:hint="eastAsia" w:ascii="宋体" w:hAnsi="宋体"/>
          <w:kern w:val="0"/>
          <w:szCs w:val="21"/>
        </w:rPr>
        <w:t>人，现委托</w:t>
      </w:r>
      <w:r>
        <w:rPr>
          <w:rFonts w:ascii="宋体" w:hAnsi="宋体"/>
          <w:kern w:val="0"/>
          <w:szCs w:val="21"/>
          <w:u w:val="single"/>
        </w:rPr>
        <w:tab/>
      </w:r>
      <w:r>
        <w:rPr>
          <w:rFonts w:hint="eastAsia" w:ascii="宋体" w:hAnsi="宋体"/>
          <w:kern w:val="0"/>
          <w:szCs w:val="21"/>
        </w:rPr>
        <w:t>（姓名）为我方代理人。代理人根据授权，以我方名义签署、澄清、说明、补正、递交、撤回、修改</w:t>
      </w:r>
      <w:r>
        <w:rPr>
          <w:rFonts w:ascii="宋体" w:hAnsi="宋体"/>
          <w:kern w:val="0"/>
          <w:szCs w:val="21"/>
          <w:u w:val="single"/>
        </w:rPr>
        <w:tab/>
      </w:r>
      <w:r>
        <w:rPr>
          <w:rFonts w:hint="eastAsia" w:ascii="宋体" w:hAnsi="宋体"/>
          <w:kern w:val="0"/>
          <w:szCs w:val="21"/>
        </w:rPr>
        <w:t>（项</w:t>
      </w:r>
      <w:r>
        <w:rPr>
          <w:rFonts w:hint="eastAsia" w:ascii="宋体" w:hAnsi="宋体"/>
          <w:spacing w:val="-1"/>
          <w:kern w:val="0"/>
          <w:szCs w:val="21"/>
        </w:rPr>
        <w:t>目</w:t>
      </w:r>
      <w:r>
        <w:rPr>
          <w:rFonts w:hint="eastAsia" w:ascii="宋体" w:hAnsi="宋体"/>
          <w:kern w:val="0"/>
          <w:szCs w:val="21"/>
        </w:rPr>
        <w:t>名称）投标文件、签订合同和处理有关事宜，其法律后果由我方承担。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hint="eastAsia" w:ascii="宋体" w:hAnsi="宋体"/>
          <w:kern w:val="0"/>
          <w:szCs w:val="21"/>
        </w:rPr>
        <w:t>委托</w:t>
      </w:r>
      <w:r>
        <w:rPr>
          <w:rFonts w:hint="eastAsia" w:ascii="宋体" w:hAnsi="宋体"/>
          <w:spacing w:val="-1"/>
          <w:kern w:val="0"/>
          <w:szCs w:val="21"/>
        </w:rPr>
        <w:t>期</w:t>
      </w:r>
      <w:r>
        <w:rPr>
          <w:rFonts w:hint="eastAsia" w:ascii="宋体" w:hAnsi="宋体"/>
          <w:kern w:val="0"/>
          <w:szCs w:val="21"/>
        </w:rPr>
        <w:t>限：</w:t>
      </w:r>
      <w:r>
        <w:rPr>
          <w:rFonts w:ascii="宋体" w:hAnsi="宋体"/>
          <w:kern w:val="0"/>
          <w:szCs w:val="21"/>
          <w:u w:val="single"/>
        </w:rPr>
        <w:tab/>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hint="eastAsia" w:ascii="宋体" w:hAnsi="宋体"/>
          <w:kern w:val="0"/>
          <w:szCs w:val="21"/>
        </w:rPr>
        <w:t>代理人无转委托权。</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p>
    <w:p>
      <w:pPr>
        <w:autoSpaceDE w:val="0"/>
        <w:autoSpaceDN w:val="0"/>
        <w:adjustRightInd w:val="0"/>
        <w:snapToGrid w:val="0"/>
        <w:spacing w:line="288" w:lineRule="auto"/>
        <w:jc w:val="left"/>
        <w:rPr>
          <w:rFonts w:ascii="宋体" w:hAnsi="宋体"/>
          <w:kern w:val="0"/>
          <w:sz w:val="12"/>
          <w:szCs w:val="12"/>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Pr>
          <w:rFonts w:hint="eastAsia" w:ascii="宋体" w:hAnsi="宋体"/>
          <w:kern w:val="0"/>
          <w:szCs w:val="21"/>
        </w:rPr>
        <w:t>投</w:t>
      </w:r>
      <w:r>
        <w:rPr>
          <w:rFonts w:ascii="宋体" w:hAnsi="宋体"/>
          <w:kern w:val="0"/>
          <w:szCs w:val="21"/>
        </w:rPr>
        <w:t xml:space="preserve">  </w:t>
      </w:r>
      <w:r>
        <w:rPr>
          <w:rFonts w:hint="eastAsia" w:ascii="宋体" w:hAnsi="宋体"/>
          <w:kern w:val="0"/>
          <w:szCs w:val="21"/>
        </w:rPr>
        <w:t>标</w:t>
      </w:r>
      <w:r>
        <w:rPr>
          <w:rFonts w:ascii="宋体" w:hAnsi="宋体"/>
          <w:kern w:val="0"/>
          <w:szCs w:val="21"/>
        </w:rPr>
        <w:t xml:space="preserve">  </w:t>
      </w:r>
      <w:r>
        <w:rPr>
          <w:rFonts w:hint="eastAsia" w:ascii="宋体" w:hAnsi="宋体"/>
          <w:kern w:val="0"/>
          <w:szCs w:val="21"/>
        </w:rPr>
        <w:t>人：</w:t>
      </w:r>
      <w:r>
        <w:rPr>
          <w:rFonts w:ascii="宋体" w:hAnsi="宋体"/>
          <w:kern w:val="0"/>
          <w:szCs w:val="21"/>
          <w:u w:val="single"/>
        </w:rPr>
        <w:tab/>
      </w:r>
      <w:r>
        <w:rPr>
          <w:rFonts w:hint="eastAsia" w:ascii="宋体" w:hAnsi="宋体"/>
          <w:kern w:val="0"/>
          <w:szCs w:val="21"/>
        </w:rPr>
        <w:t>（</w:t>
      </w:r>
      <w:r>
        <w:rPr>
          <w:rFonts w:hint="eastAsia" w:ascii="宋体" w:hAnsi="宋体"/>
          <w:spacing w:val="-1"/>
          <w:kern w:val="0"/>
          <w:szCs w:val="21"/>
        </w:rPr>
        <w:t>盖</w:t>
      </w:r>
      <w:r>
        <w:rPr>
          <w:rFonts w:hint="eastAsia" w:ascii="宋体" w:hAnsi="宋体"/>
          <w:kern w:val="0"/>
          <w:szCs w:val="21"/>
        </w:rPr>
        <w:t>单位公章）</w:t>
      </w:r>
    </w:p>
    <w:p>
      <w:pPr>
        <w:tabs>
          <w:tab w:val="left" w:pos="6300"/>
        </w:tabs>
        <w:autoSpaceDE w:val="0"/>
        <w:autoSpaceDN w:val="0"/>
        <w:adjustRightInd w:val="0"/>
        <w:snapToGrid w:val="0"/>
        <w:spacing w:line="288" w:lineRule="auto"/>
        <w:ind w:firstLine="1680"/>
        <w:jc w:val="left"/>
        <w:rPr>
          <w:rFonts w:ascii="宋体" w:hAnsi="宋体"/>
          <w:kern w:val="0"/>
          <w:szCs w:val="21"/>
        </w:rPr>
      </w:pPr>
      <w:r>
        <w:rPr>
          <w:rFonts w:hint="eastAsia" w:ascii="宋体" w:hAnsi="宋体"/>
          <w:kern w:val="0"/>
          <w:szCs w:val="21"/>
        </w:rPr>
        <w:t>法定代表人：</w:t>
      </w:r>
      <w:r>
        <w:rPr>
          <w:rFonts w:ascii="宋体" w:hAnsi="宋体"/>
          <w:kern w:val="0"/>
          <w:szCs w:val="21"/>
          <w:u w:val="single"/>
        </w:rPr>
        <w:tab/>
      </w:r>
      <w:r>
        <w:rPr>
          <w:rFonts w:ascii="宋体" w:hAnsi="宋体"/>
          <w:kern w:val="0"/>
          <w:szCs w:val="21"/>
          <w:u w:val="single"/>
        </w:rPr>
        <w:tab/>
      </w:r>
      <w:r>
        <w:rPr>
          <w:rFonts w:hint="eastAsia" w:ascii="宋体" w:hAnsi="宋体"/>
          <w:kern w:val="0"/>
          <w:szCs w:val="21"/>
        </w:rPr>
        <w:t>（签字或盖章）</w:t>
      </w:r>
    </w:p>
    <w:p>
      <w:pPr>
        <w:tabs>
          <w:tab w:val="left" w:pos="5260"/>
        </w:tabs>
        <w:autoSpaceDE w:val="0"/>
        <w:autoSpaceDN w:val="0"/>
        <w:adjustRightInd w:val="0"/>
        <w:snapToGrid w:val="0"/>
        <w:spacing w:line="288" w:lineRule="auto"/>
        <w:ind w:firstLine="1680"/>
        <w:jc w:val="left"/>
        <w:rPr>
          <w:rFonts w:ascii="宋体" w:hAnsi="宋体"/>
          <w:kern w:val="0"/>
          <w:szCs w:val="21"/>
        </w:rPr>
      </w:pPr>
      <w:r>
        <w:rPr>
          <w:rFonts w:hint="eastAsia" w:ascii="宋体" w:hAnsi="宋体"/>
          <w:kern w:val="0"/>
          <w:szCs w:val="21"/>
        </w:rPr>
        <w:t>身份证号码：</w:t>
      </w:r>
      <w:r>
        <w:rPr>
          <w:rFonts w:ascii="宋体" w:hAnsi="宋体"/>
          <w:kern w:val="0"/>
          <w:szCs w:val="21"/>
          <w:u w:val="single"/>
        </w:rPr>
        <w:tab/>
      </w:r>
    </w:p>
    <w:p>
      <w:pPr>
        <w:tabs>
          <w:tab w:val="left" w:pos="6720"/>
        </w:tabs>
        <w:autoSpaceDE w:val="0"/>
        <w:autoSpaceDN w:val="0"/>
        <w:adjustRightInd w:val="0"/>
        <w:snapToGrid w:val="0"/>
        <w:spacing w:line="288" w:lineRule="auto"/>
        <w:ind w:firstLine="1680"/>
        <w:jc w:val="left"/>
        <w:rPr>
          <w:rFonts w:ascii="宋体" w:hAnsi="宋体"/>
          <w:kern w:val="0"/>
          <w:szCs w:val="21"/>
        </w:rPr>
      </w:pPr>
      <w:r>
        <w:rPr>
          <w:rFonts w:hint="eastAsia" w:ascii="宋体" w:hAnsi="宋体"/>
          <w:kern w:val="0"/>
          <w:szCs w:val="21"/>
        </w:rPr>
        <w:t>委托代理人：</w:t>
      </w:r>
      <w:r>
        <w:rPr>
          <w:rFonts w:ascii="宋体" w:hAnsi="宋体"/>
          <w:kern w:val="0"/>
          <w:szCs w:val="21"/>
          <w:u w:val="single"/>
        </w:rPr>
        <w:tab/>
      </w:r>
      <w:r>
        <w:rPr>
          <w:rFonts w:hint="eastAsia" w:ascii="宋体" w:hAnsi="宋体"/>
          <w:kern w:val="0"/>
          <w:szCs w:val="21"/>
        </w:rPr>
        <w:t>（签</w:t>
      </w:r>
      <w:r>
        <w:rPr>
          <w:rFonts w:hint="eastAsia" w:ascii="宋体" w:hAnsi="宋体"/>
          <w:spacing w:val="-1"/>
          <w:kern w:val="0"/>
          <w:szCs w:val="21"/>
        </w:rPr>
        <w:t>字</w:t>
      </w:r>
      <w:r>
        <w:rPr>
          <w:rFonts w:hint="eastAsia" w:ascii="宋体" w:hAnsi="宋体"/>
          <w:kern w:val="0"/>
          <w:szCs w:val="21"/>
        </w:rPr>
        <w:t>）</w:t>
      </w:r>
    </w:p>
    <w:p>
      <w:pPr>
        <w:tabs>
          <w:tab w:val="left" w:pos="6825"/>
        </w:tabs>
        <w:autoSpaceDE w:val="0"/>
        <w:autoSpaceDN w:val="0"/>
        <w:adjustRightInd w:val="0"/>
        <w:snapToGrid w:val="0"/>
        <w:spacing w:line="288" w:lineRule="auto"/>
        <w:ind w:firstLine="1680"/>
        <w:jc w:val="left"/>
        <w:rPr>
          <w:rFonts w:ascii="宋体" w:hAnsi="宋体"/>
          <w:kern w:val="0"/>
          <w:szCs w:val="21"/>
        </w:rPr>
      </w:pPr>
      <w:r>
        <w:rPr>
          <w:rFonts w:hint="eastAsia" w:ascii="宋体" w:hAnsi="宋体"/>
          <w:kern w:val="0"/>
          <w:szCs w:val="21"/>
        </w:rPr>
        <w:t>身份证号码：</w:t>
      </w:r>
      <w:r>
        <w:rPr>
          <w:rFonts w:ascii="宋体" w:hAnsi="宋体"/>
          <w:kern w:val="0"/>
          <w:szCs w:val="21"/>
          <w:u w:val="single"/>
        </w:rPr>
        <w:tab/>
      </w: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0"/>
          <w:szCs w:val="20"/>
        </w:rPr>
      </w:pPr>
    </w:p>
    <w:p>
      <w:pPr>
        <w:autoSpaceDE w:val="0"/>
        <w:autoSpaceDN w:val="0"/>
        <w:adjustRightInd w:val="0"/>
        <w:snapToGrid w:val="0"/>
        <w:spacing w:line="288" w:lineRule="auto"/>
        <w:jc w:val="left"/>
        <w:rPr>
          <w:rFonts w:ascii="宋体" w:hAnsi="宋体"/>
          <w:kern w:val="0"/>
          <w:sz w:val="28"/>
          <w:szCs w:val="28"/>
        </w:rPr>
      </w:pPr>
    </w:p>
    <w:p>
      <w:pPr>
        <w:tabs>
          <w:tab w:val="left" w:pos="4225"/>
          <w:tab w:val="left" w:pos="4835"/>
        </w:tabs>
        <w:autoSpaceDE w:val="0"/>
        <w:autoSpaceDN w:val="0"/>
        <w:adjustRightInd w:val="0"/>
        <w:snapToGrid w:val="0"/>
        <w:spacing w:line="288" w:lineRule="auto"/>
        <w:ind w:firstLine="3780"/>
        <w:jc w:val="left"/>
        <w:rPr>
          <w:rFonts w:ascii="宋体" w:hAnsi="宋体"/>
          <w:kern w:val="0"/>
          <w:szCs w:val="21"/>
        </w:rPr>
      </w:pPr>
      <w:r>
        <w:rPr>
          <w:rFonts w:ascii="宋体" w:hAnsi="宋体"/>
          <w:kern w:val="0"/>
          <w:szCs w:val="21"/>
          <w:u w:val="single"/>
        </w:rPr>
        <w:tab/>
      </w:r>
      <w:r>
        <w:rPr>
          <w:rFonts w:hint="eastAsia" w:ascii="宋体" w:hAnsi="宋体"/>
          <w:kern w:val="0"/>
          <w:szCs w:val="21"/>
        </w:rPr>
        <w:t>年</w:t>
      </w:r>
      <w:r>
        <w:rPr>
          <w:rFonts w:ascii="宋体" w:hAnsi="宋体"/>
          <w:kern w:val="0"/>
          <w:szCs w:val="21"/>
          <w:u w:val="single"/>
        </w:rPr>
        <w:tab/>
      </w:r>
      <w:r>
        <w:rPr>
          <w:rFonts w:hint="eastAsia" w:ascii="宋体" w:hAnsi="宋体"/>
          <w:kern w:val="0"/>
          <w:szCs w:val="21"/>
        </w:rPr>
        <w:t>月</w:t>
      </w:r>
      <w:r>
        <w:rPr>
          <w:rFonts w:ascii="宋体" w:hAnsi="宋体"/>
          <w:kern w:val="0"/>
          <w:szCs w:val="21"/>
          <w:u w:val="single"/>
        </w:rPr>
        <w:tab/>
      </w:r>
      <w:r>
        <w:rPr>
          <w:rFonts w:hint="eastAsia" w:ascii="宋体" w:hAnsi="宋体"/>
          <w:kern w:val="0"/>
          <w:szCs w:val="21"/>
        </w:rPr>
        <w:t>日</w:t>
      </w:r>
    </w:p>
    <w:p>
      <w:pPr>
        <w:tabs>
          <w:tab w:val="left" w:pos="4840"/>
        </w:tabs>
        <w:autoSpaceDE w:val="0"/>
        <w:autoSpaceDN w:val="0"/>
        <w:adjustRightInd w:val="0"/>
        <w:snapToGrid w:val="0"/>
        <w:spacing w:line="288" w:lineRule="auto"/>
        <w:jc w:val="left"/>
        <w:rPr>
          <w:rFonts w:ascii="宋体" w:hAnsi="宋体"/>
        </w:rPr>
      </w:pPr>
      <w:bookmarkStart w:id="319" w:name="_Toc224103513"/>
    </w:p>
    <w:tbl>
      <w:tblPr>
        <w:tblStyle w:val="52"/>
        <w:tblpPr w:leftFromText="180" w:rightFromText="180" w:vertAnchor="text" w:horzAnchor="margin" w:tblpXSpec="right" w:tblpY="104"/>
        <w:tblW w:w="82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82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8251"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委托代理人身份证复印件或扫描件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8"/>
                <w:szCs w:val="28"/>
              </w:rPr>
            </w:pPr>
          </w:p>
          <w:p>
            <w:pPr>
              <w:spacing w:line="288" w:lineRule="auto"/>
              <w:jc w:val="center"/>
              <w:rPr>
                <w:rFonts w:ascii="宋体" w:hAnsi="宋体"/>
                <w:b/>
                <w:sz w:val="28"/>
                <w:szCs w:val="28"/>
              </w:rPr>
            </w:pPr>
          </w:p>
        </w:tc>
      </w:tr>
    </w:tbl>
    <w:p>
      <w:pPr>
        <w:spacing w:line="288" w:lineRule="auto"/>
        <w:rPr>
          <w:rFonts w:ascii="宋体" w:hAnsi="宋体"/>
          <w:vanish/>
        </w:rPr>
      </w:pPr>
    </w:p>
    <w:p>
      <w:pPr>
        <w:tabs>
          <w:tab w:val="left" w:pos="4840"/>
        </w:tabs>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ind w:firstLine="420" w:firstLineChars="200"/>
        <w:jc w:val="left"/>
        <w:rPr>
          <w:rFonts w:ascii="宋体" w:hAnsi="宋体"/>
          <w:kern w:val="0"/>
          <w:szCs w:val="21"/>
        </w:rPr>
      </w:pPr>
      <w:r>
        <w:rPr>
          <w:rFonts w:hint="eastAsia" w:ascii="宋体" w:hAnsi="宋体"/>
          <w:kern w:val="0"/>
          <w:szCs w:val="21"/>
        </w:rPr>
        <w:t>注：</w:t>
      </w:r>
      <w:r>
        <w:rPr>
          <w:rFonts w:ascii="宋体" w:hAnsi="宋体"/>
          <w:kern w:val="0"/>
          <w:szCs w:val="21"/>
        </w:rPr>
        <w:t>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288" w:lineRule="auto"/>
        <w:ind w:firstLine="420" w:firstLineChars="200"/>
        <w:jc w:val="left"/>
        <w:rPr>
          <w:rFonts w:ascii="宋体" w:hAnsi="宋体"/>
          <w:kern w:val="0"/>
          <w:szCs w:val="21"/>
        </w:rPr>
      </w:pPr>
      <w:r>
        <w:rPr>
          <w:rFonts w:ascii="宋体" w:hAnsi="宋体"/>
          <w:kern w:val="0"/>
          <w:szCs w:val="21"/>
        </w:rPr>
        <w:t>2、法定代表人身份证明及授权委托书原件除装入投标文件一并递交外还应提交一份开标时以查验。</w:t>
      </w:r>
    </w:p>
    <w:p>
      <w:pPr>
        <w:tabs>
          <w:tab w:val="left" w:pos="4840"/>
        </w:tabs>
        <w:autoSpaceDE w:val="0"/>
        <w:autoSpaceDN w:val="0"/>
        <w:adjustRightInd w:val="0"/>
        <w:snapToGrid w:val="0"/>
        <w:spacing w:line="288" w:lineRule="auto"/>
        <w:jc w:val="left"/>
        <w:rPr>
          <w:rFonts w:ascii="宋体" w:hAnsi="宋体"/>
        </w:rPr>
      </w:pPr>
    </w:p>
    <w:p>
      <w:pPr>
        <w:widowControl/>
        <w:jc w:val="left"/>
        <w:rPr>
          <w:rFonts w:ascii="宋体"/>
          <w:kern w:val="0"/>
        </w:rPr>
      </w:pPr>
      <w:bookmarkStart w:id="320" w:name="_Toc451342725"/>
      <w:bookmarkStart w:id="321" w:name="_Toc450050405"/>
      <w:bookmarkStart w:id="322" w:name="_Toc20592"/>
      <w:bookmarkStart w:id="323" w:name="_Toc287607885"/>
      <w:bookmarkStart w:id="324" w:name="_Toc287620832"/>
      <w:r>
        <w:rPr>
          <w:rFonts w:ascii="宋体" w:hAnsi="宋体"/>
          <w:sz w:val="28"/>
        </w:rPr>
        <w:br w:type="page"/>
      </w:r>
      <w:r>
        <w:rPr>
          <w:rFonts w:hint="eastAsia" w:ascii="宋体"/>
          <w:sz w:val="28"/>
        </w:rPr>
        <w:t>（二）投标人基本情况表</w:t>
      </w:r>
      <w:bookmarkEnd w:id="319"/>
      <w:bookmarkEnd w:id="320"/>
      <w:bookmarkEnd w:id="321"/>
      <w:bookmarkEnd w:id="322"/>
      <w:bookmarkEnd w:id="323"/>
      <w:bookmarkEnd w:id="324"/>
    </w:p>
    <w:p>
      <w:pPr>
        <w:pStyle w:val="5"/>
        <w:spacing w:line="288" w:lineRule="auto"/>
        <w:rPr>
          <w:rFonts w:ascii="宋体" w:eastAsia="宋体" w:cs="Times New Roman"/>
        </w:rPr>
      </w:pPr>
      <w:bookmarkStart w:id="325" w:name="_Toc287607886"/>
      <w:bookmarkStart w:id="326" w:name="_Toc450050406"/>
      <w:bookmarkStart w:id="327" w:name="_Toc287620833"/>
      <w:bookmarkStart w:id="328" w:name="_Toc451342726"/>
      <w:bookmarkStart w:id="329" w:name="_Toc3057"/>
      <w:bookmarkStart w:id="330" w:name="_Toc224103514"/>
    </w:p>
    <w:tbl>
      <w:tblPr>
        <w:tblStyle w:val="52"/>
        <w:tblpPr w:leftFromText="180" w:rightFromText="180" w:vertAnchor="page" w:horzAnchor="margin" w:tblpY="2952"/>
        <w:tblW w:w="9288" w:type="dxa"/>
        <w:tblInd w:w="0" w:type="dxa"/>
        <w:tblLayout w:type="fixed"/>
        <w:tblCellMar>
          <w:top w:w="0" w:type="dxa"/>
          <w:left w:w="0" w:type="dxa"/>
          <w:bottom w:w="0" w:type="dxa"/>
          <w:right w:w="0" w:type="dxa"/>
        </w:tblCellMar>
      </w:tblPr>
      <w:tblGrid>
        <w:gridCol w:w="1873"/>
        <w:gridCol w:w="973"/>
        <w:gridCol w:w="1031"/>
        <w:gridCol w:w="910"/>
        <w:gridCol w:w="455"/>
        <w:gridCol w:w="105"/>
        <w:gridCol w:w="1401"/>
        <w:gridCol w:w="532"/>
        <w:gridCol w:w="931"/>
        <w:gridCol w:w="1077"/>
      </w:tblGrid>
      <w:tr>
        <w:tblPrEx>
          <w:tblCellMar>
            <w:top w:w="0" w:type="dxa"/>
            <w:left w:w="0" w:type="dxa"/>
            <w:bottom w:w="0" w:type="dxa"/>
            <w:right w:w="0" w:type="dxa"/>
          </w:tblCellMar>
        </w:tblPrEx>
        <w:trPr>
          <w:trHeight w:val="642"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投标人名称</w:t>
            </w:r>
          </w:p>
        </w:tc>
        <w:tc>
          <w:tcPr>
            <w:tcW w:w="741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628"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注册地址</w:t>
            </w:r>
          </w:p>
        </w:tc>
        <w:tc>
          <w:tcPr>
            <w:tcW w:w="347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邮政编码</w:t>
            </w:r>
          </w:p>
        </w:tc>
        <w:tc>
          <w:tcPr>
            <w:tcW w:w="25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509" w:hRule="exact"/>
        </w:trPr>
        <w:tc>
          <w:tcPr>
            <w:tcW w:w="1873"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联系方式</w:t>
            </w: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联系人</w:t>
            </w:r>
          </w:p>
        </w:tc>
        <w:tc>
          <w:tcPr>
            <w:tcW w:w="2501"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电话</w:t>
            </w:r>
          </w:p>
        </w:tc>
        <w:tc>
          <w:tcPr>
            <w:tcW w:w="25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503" w:hRule="exact"/>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传</w:t>
            </w:r>
            <w:r>
              <w:rPr>
                <w:rFonts w:ascii="宋体" w:hAnsi="宋体"/>
                <w:kern w:val="0"/>
                <w:szCs w:val="21"/>
              </w:rPr>
              <w:tab/>
            </w:r>
            <w:r>
              <w:rPr>
                <w:rFonts w:hint="eastAsia" w:ascii="宋体" w:hAnsi="宋体"/>
                <w:kern w:val="0"/>
                <w:szCs w:val="21"/>
              </w:rPr>
              <w:t>真</w:t>
            </w:r>
          </w:p>
        </w:tc>
        <w:tc>
          <w:tcPr>
            <w:tcW w:w="2501"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网址</w:t>
            </w:r>
          </w:p>
        </w:tc>
        <w:tc>
          <w:tcPr>
            <w:tcW w:w="25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383"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组织结构</w:t>
            </w:r>
          </w:p>
        </w:tc>
        <w:tc>
          <w:tcPr>
            <w:tcW w:w="741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515"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法定代表人</w:t>
            </w: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姓名</w:t>
            </w:r>
          </w:p>
        </w:tc>
        <w:tc>
          <w:tcPr>
            <w:tcW w:w="10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技术职称</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电话</w:t>
            </w:r>
          </w:p>
        </w:tc>
        <w:tc>
          <w:tcPr>
            <w:tcW w:w="10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637"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技术负责人</w:t>
            </w: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姓名</w:t>
            </w:r>
          </w:p>
        </w:tc>
        <w:tc>
          <w:tcPr>
            <w:tcW w:w="10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技术职称</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电话</w:t>
            </w:r>
          </w:p>
        </w:tc>
        <w:tc>
          <w:tcPr>
            <w:tcW w:w="10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495"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成立时间</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541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员工总人数：</w:t>
            </w:r>
          </w:p>
        </w:tc>
      </w:tr>
      <w:tr>
        <w:tblPrEx>
          <w:tblCellMar>
            <w:top w:w="0" w:type="dxa"/>
            <w:left w:w="0" w:type="dxa"/>
            <w:bottom w:w="0" w:type="dxa"/>
            <w:right w:w="0" w:type="dxa"/>
          </w:tblCellMar>
        </w:tblPrEx>
        <w:trPr>
          <w:cantSplit/>
          <w:trHeight w:val="529"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企业资质等级</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1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其中</w:t>
            </w:r>
          </w:p>
        </w:tc>
        <w:tc>
          <w:tcPr>
            <w:tcW w:w="249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项目经理</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467"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营业执照号</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p>
        </w:tc>
        <w:tc>
          <w:tcPr>
            <w:tcW w:w="249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高级职称人员</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451"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注册资金</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p>
        </w:tc>
        <w:tc>
          <w:tcPr>
            <w:tcW w:w="249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中级职称人员</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469"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开户银行</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p>
        </w:tc>
        <w:tc>
          <w:tcPr>
            <w:tcW w:w="249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初级职称人员</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844"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账号</w:t>
            </w:r>
          </w:p>
        </w:tc>
        <w:tc>
          <w:tcPr>
            <w:tcW w:w="200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p>
        </w:tc>
        <w:tc>
          <w:tcPr>
            <w:tcW w:w="2493"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技</w:t>
            </w:r>
            <w:r>
              <w:rPr>
                <w:rFonts w:ascii="宋体" w:hAnsi="宋体"/>
                <w:kern w:val="0"/>
                <w:szCs w:val="21"/>
              </w:rPr>
              <w:tab/>
            </w:r>
            <w:r>
              <w:rPr>
                <w:rFonts w:hint="eastAsia" w:ascii="宋体" w:hAnsi="宋体"/>
                <w:kern w:val="0"/>
                <w:szCs w:val="21"/>
              </w:rPr>
              <w:t>工</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644"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经营范围</w:t>
            </w:r>
          </w:p>
        </w:tc>
        <w:tc>
          <w:tcPr>
            <w:tcW w:w="741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1270" w:hRule="exact"/>
        </w:trPr>
        <w:tc>
          <w:tcPr>
            <w:tcW w:w="18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备注</w:t>
            </w:r>
          </w:p>
        </w:tc>
        <w:tc>
          <w:tcPr>
            <w:tcW w:w="741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bl>
    <w:p>
      <w:pPr>
        <w:pStyle w:val="5"/>
        <w:spacing w:line="288" w:lineRule="auto"/>
        <w:jc w:val="center"/>
        <w:rPr>
          <w:rFonts w:ascii="宋体" w:eastAsia="宋体" w:cs="Times New Roman"/>
        </w:rPr>
      </w:pPr>
    </w:p>
    <w:p>
      <w:pPr>
        <w:pStyle w:val="5"/>
        <w:spacing w:line="288" w:lineRule="auto"/>
        <w:jc w:val="center"/>
        <w:rPr>
          <w:rFonts w:ascii="宋体" w:eastAsia="宋体" w:cs="Times New Roman"/>
        </w:rPr>
      </w:pPr>
    </w:p>
    <w:p>
      <w:pPr>
        <w:rPr>
          <w:rFonts w:ascii="宋体" w:hAnsi="宋体"/>
        </w:rPr>
      </w:pPr>
    </w:p>
    <w:p>
      <w:pPr>
        <w:pStyle w:val="2"/>
        <w:ind w:left="2160" w:hanging="2160"/>
        <w:rPr>
          <w:rFonts w:ascii="宋体" w:hAnsi="宋体" w:eastAsia="宋体"/>
        </w:rPr>
      </w:pPr>
    </w:p>
    <w:p>
      <w:pPr>
        <w:pStyle w:val="2"/>
        <w:ind w:left="2160" w:hanging="2160"/>
        <w:rPr>
          <w:rFonts w:ascii="宋体" w:hAnsi="宋体" w:eastAsia="宋体"/>
        </w:rPr>
      </w:pPr>
    </w:p>
    <w:bookmarkEnd w:id="325"/>
    <w:bookmarkEnd w:id="326"/>
    <w:bookmarkEnd w:id="327"/>
    <w:bookmarkEnd w:id="328"/>
    <w:bookmarkEnd w:id="329"/>
    <w:bookmarkEnd w:id="330"/>
    <w:p>
      <w:pPr>
        <w:pStyle w:val="5"/>
        <w:spacing w:line="288" w:lineRule="auto"/>
        <w:jc w:val="center"/>
        <w:rPr>
          <w:rFonts w:ascii="宋体" w:eastAsia="宋体" w:cs="Times New Roman"/>
          <w:sz w:val="28"/>
        </w:rPr>
      </w:pPr>
      <w:bookmarkStart w:id="331" w:name="_Toc287620838"/>
      <w:bookmarkStart w:id="332" w:name="_Toc28934"/>
      <w:bookmarkStart w:id="333" w:name="_Toc287607892"/>
      <w:r>
        <w:rPr>
          <w:rFonts w:hint="eastAsia" w:ascii="宋体" w:eastAsia="宋体" w:cs="Times New Roman"/>
          <w:b w:val="0"/>
          <w:sz w:val="28"/>
        </w:rPr>
        <w:t>（三</w:t>
      </w:r>
      <w:r>
        <w:rPr>
          <w:rFonts w:hint="eastAsia" w:ascii="宋体" w:eastAsia="宋体" w:cs="Times New Roman"/>
          <w:sz w:val="28"/>
        </w:rPr>
        <w:t>）人员要求</w:t>
      </w: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383"/>
        <w:ind w:firstLine="0" w:firstLineChars="0"/>
        <w:rPr>
          <w:rFonts w:ascii="宋体" w:hAnsi="宋体"/>
        </w:rPr>
      </w:pPr>
    </w:p>
    <w:p>
      <w:pPr>
        <w:pStyle w:val="5"/>
        <w:spacing w:line="288" w:lineRule="auto"/>
        <w:jc w:val="center"/>
        <w:rPr>
          <w:rFonts w:ascii="宋体" w:eastAsia="宋体" w:cs="Times New Roman"/>
          <w:sz w:val="28"/>
        </w:rPr>
      </w:pPr>
      <w:bookmarkStart w:id="334" w:name="_Toc450050408"/>
      <w:bookmarkStart w:id="335" w:name="_Toc451342728"/>
      <w:r>
        <w:rPr>
          <w:rFonts w:hint="eastAsia" w:ascii="宋体" w:eastAsia="宋体" w:cs="Times New Roman"/>
          <w:sz w:val="28"/>
        </w:rPr>
        <w:t>（四）</w:t>
      </w:r>
      <w:bookmarkEnd w:id="331"/>
      <w:bookmarkEnd w:id="332"/>
      <w:bookmarkEnd w:id="333"/>
      <w:r>
        <w:rPr>
          <w:rFonts w:hint="eastAsia" w:ascii="宋体" w:eastAsia="宋体" w:cs="Times New Roman"/>
          <w:sz w:val="28"/>
        </w:rPr>
        <w:t>信誉声明</w:t>
      </w:r>
      <w:bookmarkEnd w:id="334"/>
      <w:bookmarkEnd w:id="335"/>
    </w:p>
    <w:p>
      <w:pPr>
        <w:spacing w:line="288" w:lineRule="auto"/>
        <w:rPr>
          <w:rFonts w:ascii="宋体" w:hAnsi="宋体"/>
        </w:rPr>
      </w:pPr>
    </w:p>
    <w:p>
      <w:pPr>
        <w:ind w:firstLine="420" w:firstLineChars="200"/>
        <w:jc w:val="center"/>
        <w:rPr>
          <w:rFonts w:ascii="宋体" w:hAnsi="宋体"/>
          <w:kern w:val="0"/>
        </w:rPr>
      </w:pPr>
      <w:r>
        <w:rPr>
          <w:rFonts w:hint="eastAsia" w:ascii="宋体" w:hAnsi="宋体"/>
          <w:kern w:val="0"/>
        </w:rPr>
        <w:t>格式自拟</w:t>
      </w: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rPr>
          <w:rFonts w:ascii="宋体" w:hAnsi="宋体"/>
          <w:kern w:val="0"/>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ind w:firstLine="424" w:firstLineChars="202"/>
        <w:rPr>
          <w:rFonts w:ascii="宋体" w:hAnsi="宋体"/>
        </w:rPr>
      </w:pPr>
    </w:p>
    <w:p>
      <w:pPr>
        <w:spacing w:line="288" w:lineRule="auto"/>
        <w:ind w:firstLine="424" w:firstLineChars="202"/>
        <w:rPr>
          <w:rFonts w:ascii="宋体" w:hAnsi="宋体"/>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139700</wp:posOffset>
                </wp:positionV>
                <wp:extent cx="2866390" cy="635"/>
                <wp:effectExtent l="0" t="0" r="1016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866390" cy="635"/>
                        </a:xfrm>
                        <a:prstGeom prst="line">
                          <a:avLst/>
                        </a:prstGeom>
                        <a:noFill/>
                        <a:ln w="3175">
                          <a:solidFill>
                            <a:srgbClr val="000000"/>
                          </a:solidFill>
                          <a:round/>
                        </a:ln>
                        <a:effectLst/>
                      </wps:spPr>
                      <wps:bodyPr/>
                    </wps:wsp>
                  </a:graphicData>
                </a:graphic>
              </wp:anchor>
            </w:drawing>
          </mc:Choice>
          <mc:Fallback>
            <w:pict>
              <v:line id="_x0000_s1026" o:spid="_x0000_s1026" o:spt="20" style="position:absolute;left:0pt;margin-left:-4.45pt;margin-top:11pt;height:0.05pt;width:225.7pt;z-index:251659264;mso-width-relative:page;mso-height-relative:page;" filled="f" stroked="t" coordsize="21600,21600" o:gfxdata="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bI822QAAAAgBAAAPAAAAAAAAAAEAIAAAACIAAABkcnMvZG93bnJldi54bWxQSwECFAAUAAAACACH&#10;TuJAEvXiY+oBAAC6AwAADgAAAAAAAAABACAAAAAoAQAAZHJzL2Uyb0RvYy54bWxQSwUGAAAAAAYA&#10;BgBZAQAAhAUAAAAA&#10;">
                <v:fill on="f" focussize="0,0"/>
                <v:stroke weight="0.25pt" color="#000000" joinstyle="round"/>
                <v:imagedata o:title=""/>
                <o:lock v:ext="edit" aspectratio="f"/>
              </v:line>
            </w:pict>
          </mc:Fallback>
        </mc:AlternateContent>
      </w:r>
    </w:p>
    <w:p>
      <w:pPr>
        <w:spacing w:line="288" w:lineRule="auto"/>
        <w:ind w:left="601" w:hanging="600" w:hangingChars="286"/>
        <w:rPr>
          <w:rFonts w:ascii="宋体" w:hAnsi="宋体"/>
        </w:rPr>
      </w:pPr>
      <w:r>
        <w:rPr>
          <w:rFonts w:hint="eastAsia" w:ascii="宋体" w:hAnsi="宋体"/>
        </w:rPr>
        <w:t>注：</w:t>
      </w:r>
      <w:r>
        <w:rPr>
          <w:rFonts w:ascii="宋体" w:hAnsi="宋体"/>
        </w:rPr>
        <w:t>1.由投标人自行声明是否满足资格审查标准中的信誉要求。如声明与实际不符，将被取消中标资格，其投标保证金不予退还。</w:t>
      </w:r>
    </w:p>
    <w:p>
      <w:pPr>
        <w:pStyle w:val="5"/>
        <w:spacing w:line="288" w:lineRule="auto"/>
        <w:jc w:val="center"/>
        <w:rPr>
          <w:rFonts w:ascii="宋体" w:eastAsia="宋体" w:cs="Times New Roman"/>
          <w:szCs w:val="24"/>
        </w:rPr>
      </w:pPr>
      <w:bookmarkStart w:id="336" w:name="_Toc287620839"/>
      <w:bookmarkStart w:id="337" w:name="_Toc224103520"/>
      <w:bookmarkStart w:id="338" w:name="_Toc17822"/>
      <w:bookmarkStart w:id="339" w:name="_Toc287607893"/>
      <w:bookmarkStart w:id="340" w:name="_Toc277082663"/>
    </w:p>
    <w:p>
      <w:pPr>
        <w:rPr>
          <w:rFonts w:ascii="宋体" w:hAnsi="宋体"/>
        </w:rPr>
      </w:pPr>
    </w:p>
    <w:bookmarkEnd w:id="336"/>
    <w:bookmarkEnd w:id="337"/>
    <w:bookmarkEnd w:id="338"/>
    <w:bookmarkEnd w:id="339"/>
    <w:bookmarkEnd w:id="340"/>
    <w:p>
      <w:pPr>
        <w:widowControl/>
        <w:jc w:val="left"/>
        <w:rPr>
          <w:rFonts w:ascii="宋体" w:hAnsi="宋体"/>
          <w:b/>
          <w:sz w:val="28"/>
          <w:szCs w:val="28"/>
        </w:rPr>
      </w:pPr>
      <w:r>
        <w:rPr>
          <w:rFonts w:ascii="宋体" w:hAnsi="宋体"/>
          <w:sz w:val="28"/>
        </w:rPr>
        <w:br w:type="page"/>
      </w:r>
    </w:p>
    <w:p>
      <w:pPr>
        <w:pStyle w:val="5"/>
        <w:spacing w:line="288" w:lineRule="auto"/>
        <w:jc w:val="center"/>
        <w:rPr>
          <w:rFonts w:ascii="宋体" w:eastAsia="宋体" w:cs="Times New Roman"/>
          <w:sz w:val="28"/>
        </w:rPr>
      </w:pPr>
      <w:r>
        <w:rPr>
          <w:rFonts w:hint="eastAsia" w:ascii="宋体" w:eastAsia="宋体" w:cs="Times New Roman"/>
          <w:sz w:val="28"/>
        </w:rPr>
        <w:t>（五）商务部分</w:t>
      </w:r>
    </w:p>
    <w:p>
      <w:pPr>
        <w:pStyle w:val="383"/>
        <w:ind w:left="720" w:leftChars="343"/>
        <w:rPr>
          <w:rFonts w:ascii="宋体" w:hAnsi="宋体"/>
        </w:rPr>
      </w:pPr>
      <w:r>
        <w:rPr>
          <w:rFonts w:hint="eastAsia" w:ascii="宋体" w:hAnsi="宋体"/>
        </w:rPr>
        <w:t>包括但不限于招标文件第三章“评标办法前附表”中商务部分评标标准要求提供的相应资料。</w:t>
      </w: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shd w:val="clear" w:color="auto" w:fill="FFFFFF"/>
        <w:spacing w:line="560" w:lineRule="exact"/>
        <w:jc w:val="center"/>
        <w:rPr>
          <w:rFonts w:ascii="宋体" w:hAnsi="宋体"/>
          <w:b/>
          <w:kern w:val="0"/>
          <w:sz w:val="44"/>
          <w:szCs w:val="44"/>
        </w:rPr>
      </w:pPr>
    </w:p>
    <w:p>
      <w:pPr>
        <w:widowControl/>
        <w:jc w:val="left"/>
        <w:rPr>
          <w:rFonts w:ascii="宋体" w:hAnsi="宋体"/>
          <w:b/>
          <w:kern w:val="0"/>
          <w:sz w:val="44"/>
          <w:szCs w:val="44"/>
        </w:rPr>
      </w:pPr>
      <w:r>
        <w:rPr>
          <w:rFonts w:ascii="宋体" w:hAnsi="宋体"/>
          <w:b/>
          <w:kern w:val="0"/>
          <w:sz w:val="44"/>
          <w:szCs w:val="44"/>
        </w:rPr>
        <w:br w:type="page"/>
      </w:r>
    </w:p>
    <w:p>
      <w:pPr>
        <w:pStyle w:val="5"/>
        <w:spacing w:line="288" w:lineRule="auto"/>
        <w:jc w:val="center"/>
        <w:rPr>
          <w:rFonts w:ascii="宋体" w:eastAsia="宋体" w:cs="Times New Roman"/>
          <w:sz w:val="28"/>
        </w:rPr>
      </w:pPr>
      <w:r>
        <w:rPr>
          <w:rFonts w:hint="eastAsia" w:ascii="宋体" w:eastAsia="宋体" w:cs="Times New Roman"/>
          <w:sz w:val="28"/>
        </w:rPr>
        <w:t>（六）其他资料</w:t>
      </w:r>
    </w:p>
    <w:p>
      <w:pPr>
        <w:widowControl/>
        <w:shd w:val="clear" w:color="auto" w:fill="FFFFFF"/>
        <w:spacing w:line="560" w:lineRule="exact"/>
        <w:rPr>
          <w:rFonts w:ascii="宋体" w:hAnsi="宋体"/>
          <w:b/>
          <w:kern w:val="0"/>
          <w:sz w:val="44"/>
          <w:szCs w:val="44"/>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p>
      <w:pPr>
        <w:pStyle w:val="2"/>
        <w:ind w:left="2160" w:hanging="2160"/>
        <w:rPr>
          <w:rFonts w:ascii="宋体" w:hAnsi="宋体" w:eastAsia="宋体"/>
        </w:rPr>
      </w:pP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方正书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pBdr>
      <w:ind w:firstLine="420" w:firstLineChars="200"/>
      <w:jc w:val="center"/>
      <w:rPr>
        <w:rFonts w:ascii="宋体" w:hAnsi="宋体" w:eastAsia="宋体"/>
        <w:sz w:val="21"/>
        <w:szCs w:val="21"/>
      </w:rPr>
    </w:pPr>
    <w:sdt>
      <w:sdtPr>
        <w:rPr>
          <w:rFonts w:ascii="宋体" w:hAnsi="宋体" w:eastAsia="宋体"/>
          <w:i/>
          <w:sz w:val="21"/>
          <w:szCs w:val="21"/>
        </w:rPr>
        <w:id w:val="-674025132"/>
      </w:sdtPr>
      <w:sdtEndPr>
        <w:rPr>
          <w:rFonts w:ascii="宋体" w:hAnsi="宋体" w:eastAsia="宋体"/>
          <w:i w:val="0"/>
          <w:sz w:val="21"/>
          <w:szCs w:val="21"/>
        </w:rPr>
      </w:sdtEndPr>
      <w:sdtContent>
        <w:r>
          <w:rPr>
            <w:rFonts w:hint="eastAsia"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31</w:t>
        </w:r>
        <w:r>
          <w:rPr>
            <w:rFonts w:ascii="宋体" w:hAnsi="宋体" w:eastAsia="宋体"/>
            <w:sz w:val="21"/>
            <w:szCs w:val="21"/>
          </w:rPr>
          <w:fldChar w:fldCharType="end"/>
        </w:r>
      </w:sdtContent>
    </w:sdt>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i/>
        <w:sz w:val="21"/>
        <w:szCs w:val="21"/>
      </w:rPr>
      <w:id w:val="-965819492"/>
    </w:sdtPr>
    <w:sdtEndPr>
      <w:rPr>
        <w:rFonts w:ascii="宋体" w:hAnsi="宋体" w:eastAsia="宋体"/>
        <w:i w:val="0"/>
        <w:sz w:val="21"/>
        <w:szCs w:val="21"/>
      </w:rPr>
    </w:sdtEndPr>
    <w:sdtContent>
      <w:p>
        <w:pPr>
          <w:pStyle w:val="34"/>
          <w:pBdr>
            <w:top w:val="single" w:color="auto" w:sz="4" w:space="1"/>
          </w:pBdr>
          <w:jc w:val="center"/>
          <w:rPr>
            <w:rFonts w:ascii="宋体" w:hAnsi="宋体" w:eastAsia="宋体"/>
            <w:i/>
            <w:sz w:val="21"/>
            <w:szCs w:val="21"/>
          </w:rPr>
        </w:pPr>
        <w:r>
          <w:rPr>
            <w:rFonts w:hint="eastAsia" w:ascii="宋体" w:hAnsi="宋体" w:eastAsia="宋体"/>
            <w:i/>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I</w:t>
        </w:r>
        <w:r>
          <w:rPr>
            <w:rFonts w:ascii="宋体" w:hAnsi="宋体" w:eastAsia="宋体"/>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i/>
        <w:sz w:val="21"/>
        <w:szCs w:val="21"/>
      </w:rPr>
      <w:id w:val="-787510267"/>
    </w:sdtPr>
    <w:sdtEndPr>
      <w:rPr>
        <w:rFonts w:ascii="宋体" w:hAnsi="宋体" w:eastAsia="宋体"/>
        <w:i/>
        <w:sz w:val="21"/>
        <w:szCs w:val="21"/>
      </w:rPr>
    </w:sdtEndPr>
    <w:sdtContent>
      <w:p>
        <w:pPr>
          <w:pStyle w:val="34"/>
          <w:pBdr>
            <w:top w:val="single" w:color="auto" w:sz="4" w:space="1"/>
          </w:pBdr>
          <w:jc w:val="center"/>
          <w:rPr>
            <w:rFonts w:ascii="宋体" w:hAnsi="宋体" w:eastAsia="宋体"/>
            <w:i/>
            <w:sz w:val="21"/>
            <w:szCs w:val="21"/>
          </w:rPr>
        </w:pPr>
        <w:r>
          <w:rPr>
            <w:rFonts w:hint="eastAsia" w:ascii="宋体" w:hAnsi="宋体" w:eastAsia="宋体"/>
            <w:i/>
            <w:sz w:val="21"/>
            <w:szCs w:val="21"/>
          </w:rPr>
          <w:t xml:space="preserve">             </w:t>
        </w:r>
        <w:r>
          <w:rPr>
            <w:rFonts w:ascii="宋体" w:hAnsi="宋体" w:eastAsia="宋体"/>
            <w:i/>
            <w:sz w:val="21"/>
            <w:szCs w:val="21"/>
          </w:rPr>
          <w:fldChar w:fldCharType="begin"/>
        </w:r>
        <w:r>
          <w:rPr>
            <w:rFonts w:ascii="宋体" w:hAnsi="宋体" w:eastAsia="宋体"/>
            <w:i/>
            <w:sz w:val="21"/>
            <w:szCs w:val="21"/>
          </w:rPr>
          <w:instrText xml:space="preserve">PAGE   \* MERGEFORMAT</w:instrText>
        </w:r>
        <w:r>
          <w:rPr>
            <w:rFonts w:ascii="宋体" w:hAnsi="宋体" w:eastAsia="宋体"/>
            <w:i/>
            <w:sz w:val="21"/>
            <w:szCs w:val="21"/>
          </w:rPr>
          <w:fldChar w:fldCharType="separate"/>
        </w:r>
        <w:r>
          <w:rPr>
            <w:rFonts w:ascii="宋体" w:hAnsi="宋体" w:eastAsia="宋体"/>
            <w:i/>
            <w:sz w:val="21"/>
            <w:szCs w:val="21"/>
            <w:lang w:val="zh-CN"/>
          </w:rPr>
          <w:t>12</w:t>
        </w:r>
        <w:r>
          <w:rPr>
            <w:rFonts w:ascii="宋体" w:hAnsi="宋体" w:eastAsia="宋体"/>
            <w:i/>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344841"/>
    </w:sdtPr>
    <w:sdtEndPr>
      <w:rPr>
        <w:rFonts w:ascii="宋体" w:hAnsi="宋体" w:eastAsia="宋体"/>
        <w:sz w:val="21"/>
        <w:szCs w:val="21"/>
      </w:rPr>
    </w:sdtEndPr>
    <w:sdtContent>
      <w:p>
        <w:pPr>
          <w:pStyle w:val="34"/>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32</w:t>
        </w:r>
        <w:r>
          <w:rPr>
            <w:rFonts w:ascii="宋体" w:hAnsi="宋体" w:eastAsia="宋体"/>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5740FF"/>
    <w:multiLevelType w:val="singleLevel"/>
    <w:tmpl w:val="F65740FF"/>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japaneseCounting"/>
      <w:pStyle w:val="101"/>
      <w:lvlText w:val="第%1章"/>
      <w:lvlJc w:val="left"/>
      <w:pPr>
        <w:ind w:left="3105" w:hanging="1320"/>
      </w:pPr>
      <w:rPr>
        <w:rFonts w:hint="default" w:ascii="黑体" w:hAnsi="Times New Roman" w:eastAsia="Times New Roman" w:cs="MingLiU"/>
        <w:lang w:val="en-US"/>
      </w:rPr>
    </w:lvl>
    <w:lvl w:ilvl="1" w:tentative="0">
      <w:start w:val="1"/>
      <w:numFmt w:val="decimal"/>
      <w:lvlText w:val="%2."/>
      <w:lvlJc w:val="left"/>
      <w:pPr>
        <w:tabs>
          <w:tab w:val="left" w:pos="840"/>
        </w:tabs>
        <w:ind w:left="840" w:hanging="420"/>
      </w:pPr>
      <w:rPr>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C86DFE"/>
    <w:multiLevelType w:val="multilevel"/>
    <w:tmpl w:val="3DC86DFE"/>
    <w:lvl w:ilvl="0" w:tentative="0">
      <w:start w:val="5"/>
      <w:numFmt w:val="japaneseCounting"/>
      <w:lvlText w:val="第%1条"/>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5757F6"/>
    <w:multiLevelType w:val="multilevel"/>
    <w:tmpl w:val="545757F6"/>
    <w:lvl w:ilvl="0" w:tentative="0">
      <w:start w:val="1"/>
      <w:numFmt w:val="japaneseCounting"/>
      <w:lvlText w:val="第%1章"/>
      <w:lvlJc w:val="left"/>
      <w:pPr>
        <w:ind w:left="4149" w:hanging="1760"/>
      </w:pPr>
      <w:rPr>
        <w:rFonts w:hint="default"/>
      </w:rPr>
    </w:lvl>
    <w:lvl w:ilvl="1" w:tentative="0">
      <w:start w:val="1"/>
      <w:numFmt w:val="lowerLetter"/>
      <w:lvlText w:val="%2)"/>
      <w:lvlJc w:val="left"/>
      <w:pPr>
        <w:ind w:left="3229" w:hanging="420"/>
      </w:pPr>
    </w:lvl>
    <w:lvl w:ilvl="2" w:tentative="0">
      <w:start w:val="1"/>
      <w:numFmt w:val="lowerRoman"/>
      <w:lvlText w:val="%3."/>
      <w:lvlJc w:val="right"/>
      <w:pPr>
        <w:ind w:left="3649" w:hanging="420"/>
      </w:pPr>
    </w:lvl>
    <w:lvl w:ilvl="3" w:tentative="0">
      <w:start w:val="1"/>
      <w:numFmt w:val="decimal"/>
      <w:lvlText w:val="%4."/>
      <w:lvlJc w:val="left"/>
      <w:pPr>
        <w:ind w:left="4069" w:hanging="420"/>
      </w:pPr>
    </w:lvl>
    <w:lvl w:ilvl="4" w:tentative="0">
      <w:start w:val="1"/>
      <w:numFmt w:val="lowerLetter"/>
      <w:lvlText w:val="%5)"/>
      <w:lvlJc w:val="left"/>
      <w:pPr>
        <w:ind w:left="4489" w:hanging="420"/>
      </w:pPr>
    </w:lvl>
    <w:lvl w:ilvl="5" w:tentative="0">
      <w:start w:val="1"/>
      <w:numFmt w:val="lowerRoman"/>
      <w:lvlText w:val="%6."/>
      <w:lvlJc w:val="right"/>
      <w:pPr>
        <w:ind w:left="4909" w:hanging="420"/>
      </w:pPr>
    </w:lvl>
    <w:lvl w:ilvl="6" w:tentative="0">
      <w:start w:val="1"/>
      <w:numFmt w:val="decimal"/>
      <w:lvlText w:val="%7."/>
      <w:lvlJc w:val="left"/>
      <w:pPr>
        <w:ind w:left="5329" w:hanging="420"/>
      </w:pPr>
    </w:lvl>
    <w:lvl w:ilvl="7" w:tentative="0">
      <w:start w:val="1"/>
      <w:numFmt w:val="lowerLetter"/>
      <w:lvlText w:val="%8)"/>
      <w:lvlJc w:val="left"/>
      <w:pPr>
        <w:ind w:left="5749" w:hanging="420"/>
      </w:pPr>
    </w:lvl>
    <w:lvl w:ilvl="8" w:tentative="0">
      <w:start w:val="1"/>
      <w:numFmt w:val="lowerRoman"/>
      <w:lvlText w:val="%9."/>
      <w:lvlJc w:val="right"/>
      <w:pPr>
        <w:ind w:left="6169" w:hanging="420"/>
      </w:pPr>
    </w:lvl>
  </w:abstractNum>
  <w:abstractNum w:abstractNumId="4">
    <w:nsid w:val="5729C7CA"/>
    <w:multiLevelType w:val="singleLevel"/>
    <w:tmpl w:val="5729C7CA"/>
    <w:lvl w:ilvl="0" w:tentative="0">
      <w:start w:val="5"/>
      <w:numFmt w:val="decimal"/>
      <w:pStyle w:val="95"/>
      <w:suff w:val="nothing"/>
      <w:lvlText w:val="（%1）"/>
      <w:lvlJc w:val="left"/>
      <w:pPr>
        <w:ind w:left="0" w:firstLine="0"/>
      </w:pPr>
    </w:lvl>
  </w:abstractNum>
  <w:abstractNum w:abstractNumId="5">
    <w:nsid w:val="5DC4CDAC"/>
    <w:multiLevelType w:val="singleLevel"/>
    <w:tmpl w:val="5DC4CDAC"/>
    <w:lvl w:ilvl="0" w:tentative="0">
      <w:start w:val="1"/>
      <w:numFmt w:val="decimal"/>
      <w:pStyle w:val="16"/>
      <w:lvlText w:val="%1."/>
      <w:lvlJc w:val="left"/>
      <w:pPr>
        <w:tabs>
          <w:tab w:val="left" w:pos="1200"/>
        </w:tabs>
        <w:ind w:left="1200" w:hanging="360"/>
      </w:pPr>
    </w:lvl>
  </w:abstractNum>
  <w:abstractNum w:abstractNumId="6">
    <w:nsid w:val="5DC4CDB7"/>
    <w:multiLevelType w:val="singleLevel"/>
    <w:tmpl w:val="5DC4CDB7"/>
    <w:lvl w:ilvl="0" w:tentative="0">
      <w:start w:val="1"/>
      <w:numFmt w:val="decimal"/>
      <w:pStyle w:val="28"/>
      <w:lvlText w:val="%1."/>
      <w:lvlJc w:val="left"/>
      <w:pPr>
        <w:tabs>
          <w:tab w:val="left" w:pos="780"/>
        </w:tabs>
        <w:ind w:left="780" w:hanging="360"/>
      </w:pPr>
    </w:lvl>
  </w:abstractNum>
  <w:abstractNum w:abstractNumId="7">
    <w:nsid w:val="5DC4CDC2"/>
    <w:multiLevelType w:val="singleLevel"/>
    <w:tmpl w:val="5DC4CDC2"/>
    <w:lvl w:ilvl="0" w:tentative="0">
      <w:start w:val="1"/>
      <w:numFmt w:val="decimal"/>
      <w:pStyle w:val="47"/>
      <w:lvlText w:val="%1."/>
      <w:lvlJc w:val="left"/>
      <w:pPr>
        <w:tabs>
          <w:tab w:val="left" w:pos="360"/>
        </w:tabs>
        <w:ind w:left="360" w:hanging="360"/>
      </w:pPr>
    </w:lvl>
  </w:abstractNum>
  <w:abstractNum w:abstractNumId="8">
    <w:nsid w:val="5DC4CDCD"/>
    <w:multiLevelType w:val="singleLevel"/>
    <w:tmpl w:val="5DC4CDCD"/>
    <w:lvl w:ilvl="0" w:tentative="0">
      <w:start w:val="1"/>
      <w:numFmt w:val="decimal"/>
      <w:pStyle w:val="152"/>
      <w:lvlText w:val="%1."/>
      <w:lvlJc w:val="left"/>
      <w:pPr>
        <w:tabs>
          <w:tab w:val="left" w:pos="2040"/>
        </w:tabs>
        <w:ind w:left="2040" w:hanging="360"/>
      </w:pPr>
    </w:lvl>
  </w:abstractNum>
  <w:num w:numId="1">
    <w:abstractNumId w:val="5"/>
  </w:num>
  <w:num w:numId="2">
    <w:abstractNumId w:val="6"/>
  </w:num>
  <w:num w:numId="3">
    <w:abstractNumId w:val="7"/>
  </w:num>
  <w:num w:numId="4">
    <w:abstractNumId w:val="4"/>
  </w:num>
  <w:num w:numId="5">
    <w:abstractNumId w:val="1"/>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17CB"/>
    <w:rsid w:val="0000212D"/>
    <w:rsid w:val="00002524"/>
    <w:rsid w:val="00002FC2"/>
    <w:rsid w:val="00003D62"/>
    <w:rsid w:val="00005C2D"/>
    <w:rsid w:val="00011BFC"/>
    <w:rsid w:val="00015643"/>
    <w:rsid w:val="00022108"/>
    <w:rsid w:val="00022B30"/>
    <w:rsid w:val="00023C0A"/>
    <w:rsid w:val="00030BF6"/>
    <w:rsid w:val="00030CBE"/>
    <w:rsid w:val="00033D97"/>
    <w:rsid w:val="00036AB5"/>
    <w:rsid w:val="00037F8F"/>
    <w:rsid w:val="000411B2"/>
    <w:rsid w:val="000418CD"/>
    <w:rsid w:val="000436EF"/>
    <w:rsid w:val="000454F6"/>
    <w:rsid w:val="000472EB"/>
    <w:rsid w:val="000475D8"/>
    <w:rsid w:val="00052CF8"/>
    <w:rsid w:val="00055DA6"/>
    <w:rsid w:val="00056B6B"/>
    <w:rsid w:val="00057A26"/>
    <w:rsid w:val="0006261F"/>
    <w:rsid w:val="00063097"/>
    <w:rsid w:val="00063310"/>
    <w:rsid w:val="000646CD"/>
    <w:rsid w:val="00064AA6"/>
    <w:rsid w:val="000659E2"/>
    <w:rsid w:val="000704DA"/>
    <w:rsid w:val="00071128"/>
    <w:rsid w:val="000719FD"/>
    <w:rsid w:val="00075887"/>
    <w:rsid w:val="00075B19"/>
    <w:rsid w:val="000763AB"/>
    <w:rsid w:val="00076DD6"/>
    <w:rsid w:val="000813EC"/>
    <w:rsid w:val="00087183"/>
    <w:rsid w:val="000875B2"/>
    <w:rsid w:val="00087A95"/>
    <w:rsid w:val="00087D37"/>
    <w:rsid w:val="000901D9"/>
    <w:rsid w:val="000909A2"/>
    <w:rsid w:val="00092A14"/>
    <w:rsid w:val="00093D0F"/>
    <w:rsid w:val="00095F67"/>
    <w:rsid w:val="000977D9"/>
    <w:rsid w:val="000A01E4"/>
    <w:rsid w:val="000A5C2C"/>
    <w:rsid w:val="000A6DB1"/>
    <w:rsid w:val="000B5927"/>
    <w:rsid w:val="000C1C2F"/>
    <w:rsid w:val="000C2489"/>
    <w:rsid w:val="000C2D76"/>
    <w:rsid w:val="000C34C3"/>
    <w:rsid w:val="000C3507"/>
    <w:rsid w:val="000C71D1"/>
    <w:rsid w:val="000D19A8"/>
    <w:rsid w:val="000D4327"/>
    <w:rsid w:val="000E086B"/>
    <w:rsid w:val="000E1BCB"/>
    <w:rsid w:val="000E450A"/>
    <w:rsid w:val="000E54D3"/>
    <w:rsid w:val="000E6534"/>
    <w:rsid w:val="000E6C3E"/>
    <w:rsid w:val="000F08A1"/>
    <w:rsid w:val="000F157F"/>
    <w:rsid w:val="000F225B"/>
    <w:rsid w:val="000F3A89"/>
    <w:rsid w:val="0010176F"/>
    <w:rsid w:val="00102E43"/>
    <w:rsid w:val="00111E7C"/>
    <w:rsid w:val="00112980"/>
    <w:rsid w:val="00117565"/>
    <w:rsid w:val="001179F8"/>
    <w:rsid w:val="00120BF5"/>
    <w:rsid w:val="0012228E"/>
    <w:rsid w:val="00122317"/>
    <w:rsid w:val="001226EE"/>
    <w:rsid w:val="00122FC9"/>
    <w:rsid w:val="00125CAA"/>
    <w:rsid w:val="00126391"/>
    <w:rsid w:val="00126B16"/>
    <w:rsid w:val="00130451"/>
    <w:rsid w:val="00131136"/>
    <w:rsid w:val="001339D2"/>
    <w:rsid w:val="00133D95"/>
    <w:rsid w:val="001358D6"/>
    <w:rsid w:val="0013721B"/>
    <w:rsid w:val="0014131E"/>
    <w:rsid w:val="00142FDC"/>
    <w:rsid w:val="001518E3"/>
    <w:rsid w:val="001546AA"/>
    <w:rsid w:val="00154852"/>
    <w:rsid w:val="00154B26"/>
    <w:rsid w:val="001618B0"/>
    <w:rsid w:val="001645FE"/>
    <w:rsid w:val="00164B8C"/>
    <w:rsid w:val="0016718A"/>
    <w:rsid w:val="001709B4"/>
    <w:rsid w:val="001709BF"/>
    <w:rsid w:val="00174C6A"/>
    <w:rsid w:val="00174FD8"/>
    <w:rsid w:val="00177606"/>
    <w:rsid w:val="001800DE"/>
    <w:rsid w:val="00180906"/>
    <w:rsid w:val="0018193B"/>
    <w:rsid w:val="00182645"/>
    <w:rsid w:val="00184533"/>
    <w:rsid w:val="00190EEE"/>
    <w:rsid w:val="001915E8"/>
    <w:rsid w:val="001928C6"/>
    <w:rsid w:val="00192A7F"/>
    <w:rsid w:val="00193FF5"/>
    <w:rsid w:val="00194A48"/>
    <w:rsid w:val="001966E4"/>
    <w:rsid w:val="00197565"/>
    <w:rsid w:val="001A122E"/>
    <w:rsid w:val="001A4940"/>
    <w:rsid w:val="001A5995"/>
    <w:rsid w:val="001A6F19"/>
    <w:rsid w:val="001B14DF"/>
    <w:rsid w:val="001B3059"/>
    <w:rsid w:val="001B3CBC"/>
    <w:rsid w:val="001B3D80"/>
    <w:rsid w:val="001B6087"/>
    <w:rsid w:val="001B62CD"/>
    <w:rsid w:val="001C0758"/>
    <w:rsid w:val="001C1B31"/>
    <w:rsid w:val="001C34A0"/>
    <w:rsid w:val="001D0713"/>
    <w:rsid w:val="001D097D"/>
    <w:rsid w:val="001D3F4A"/>
    <w:rsid w:val="001D5D12"/>
    <w:rsid w:val="001D6099"/>
    <w:rsid w:val="001D637F"/>
    <w:rsid w:val="001E311D"/>
    <w:rsid w:val="001E312D"/>
    <w:rsid w:val="001E684C"/>
    <w:rsid w:val="001E6D5F"/>
    <w:rsid w:val="001F1144"/>
    <w:rsid w:val="001F145D"/>
    <w:rsid w:val="001F24F0"/>
    <w:rsid w:val="001F47F5"/>
    <w:rsid w:val="001F49AD"/>
    <w:rsid w:val="001F5B2A"/>
    <w:rsid w:val="001F7A12"/>
    <w:rsid w:val="00200C3E"/>
    <w:rsid w:val="00201D8C"/>
    <w:rsid w:val="002030BB"/>
    <w:rsid w:val="00204843"/>
    <w:rsid w:val="00210594"/>
    <w:rsid w:val="00210722"/>
    <w:rsid w:val="00211703"/>
    <w:rsid w:val="0021279A"/>
    <w:rsid w:val="002128F7"/>
    <w:rsid w:val="00217078"/>
    <w:rsid w:val="00217FB0"/>
    <w:rsid w:val="002230D2"/>
    <w:rsid w:val="002264FF"/>
    <w:rsid w:val="0024105C"/>
    <w:rsid w:val="002420AA"/>
    <w:rsid w:val="002442CC"/>
    <w:rsid w:val="00244E28"/>
    <w:rsid w:val="00246F25"/>
    <w:rsid w:val="00253EA3"/>
    <w:rsid w:val="002637AF"/>
    <w:rsid w:val="00264AEC"/>
    <w:rsid w:val="0026520F"/>
    <w:rsid w:val="0026523F"/>
    <w:rsid w:val="002654A1"/>
    <w:rsid w:val="002665E7"/>
    <w:rsid w:val="0027025B"/>
    <w:rsid w:val="0027054D"/>
    <w:rsid w:val="00270ACE"/>
    <w:rsid w:val="00284BC5"/>
    <w:rsid w:val="00286526"/>
    <w:rsid w:val="00290400"/>
    <w:rsid w:val="00293801"/>
    <w:rsid w:val="002A31AE"/>
    <w:rsid w:val="002A3F90"/>
    <w:rsid w:val="002A5BCC"/>
    <w:rsid w:val="002A5EFF"/>
    <w:rsid w:val="002B0A62"/>
    <w:rsid w:val="002B0A68"/>
    <w:rsid w:val="002B42E0"/>
    <w:rsid w:val="002B4CC0"/>
    <w:rsid w:val="002B6A89"/>
    <w:rsid w:val="002B6BA6"/>
    <w:rsid w:val="002B7164"/>
    <w:rsid w:val="002C1D61"/>
    <w:rsid w:val="002C2E94"/>
    <w:rsid w:val="002C3015"/>
    <w:rsid w:val="002C34E4"/>
    <w:rsid w:val="002C7EB0"/>
    <w:rsid w:val="002D0449"/>
    <w:rsid w:val="002D06C3"/>
    <w:rsid w:val="002D0F39"/>
    <w:rsid w:val="002D19E1"/>
    <w:rsid w:val="002D2566"/>
    <w:rsid w:val="002D3EFC"/>
    <w:rsid w:val="002D4046"/>
    <w:rsid w:val="002D7D0E"/>
    <w:rsid w:val="002E096F"/>
    <w:rsid w:val="002E2D62"/>
    <w:rsid w:val="002E38F2"/>
    <w:rsid w:val="002E5DF2"/>
    <w:rsid w:val="002E730B"/>
    <w:rsid w:val="002E77D0"/>
    <w:rsid w:val="002E786C"/>
    <w:rsid w:val="002F0198"/>
    <w:rsid w:val="00301279"/>
    <w:rsid w:val="003017E0"/>
    <w:rsid w:val="00304852"/>
    <w:rsid w:val="00307E81"/>
    <w:rsid w:val="0031100C"/>
    <w:rsid w:val="0031106F"/>
    <w:rsid w:val="003114F6"/>
    <w:rsid w:val="0031181C"/>
    <w:rsid w:val="003153BB"/>
    <w:rsid w:val="0031557A"/>
    <w:rsid w:val="003155BA"/>
    <w:rsid w:val="00315DA1"/>
    <w:rsid w:val="00315F60"/>
    <w:rsid w:val="00316CEE"/>
    <w:rsid w:val="00317596"/>
    <w:rsid w:val="003243B6"/>
    <w:rsid w:val="00324D4B"/>
    <w:rsid w:val="00326C2F"/>
    <w:rsid w:val="00327B85"/>
    <w:rsid w:val="00327F9E"/>
    <w:rsid w:val="0033019C"/>
    <w:rsid w:val="00330CBC"/>
    <w:rsid w:val="00331766"/>
    <w:rsid w:val="00331E77"/>
    <w:rsid w:val="003337D3"/>
    <w:rsid w:val="00333F9D"/>
    <w:rsid w:val="003342A0"/>
    <w:rsid w:val="00337023"/>
    <w:rsid w:val="00337874"/>
    <w:rsid w:val="0034022F"/>
    <w:rsid w:val="00340AC6"/>
    <w:rsid w:val="0034351D"/>
    <w:rsid w:val="003462D3"/>
    <w:rsid w:val="0035515D"/>
    <w:rsid w:val="00356B14"/>
    <w:rsid w:val="003605F6"/>
    <w:rsid w:val="00362297"/>
    <w:rsid w:val="00362DA4"/>
    <w:rsid w:val="00366643"/>
    <w:rsid w:val="0037007B"/>
    <w:rsid w:val="0037031B"/>
    <w:rsid w:val="003713A0"/>
    <w:rsid w:val="00371819"/>
    <w:rsid w:val="00373C39"/>
    <w:rsid w:val="00373F60"/>
    <w:rsid w:val="003746B0"/>
    <w:rsid w:val="003747B6"/>
    <w:rsid w:val="00376BF8"/>
    <w:rsid w:val="0038018C"/>
    <w:rsid w:val="00382378"/>
    <w:rsid w:val="0038301B"/>
    <w:rsid w:val="0038380A"/>
    <w:rsid w:val="003920BF"/>
    <w:rsid w:val="00395E47"/>
    <w:rsid w:val="00396BC7"/>
    <w:rsid w:val="003A32B5"/>
    <w:rsid w:val="003A4547"/>
    <w:rsid w:val="003A7080"/>
    <w:rsid w:val="003B004C"/>
    <w:rsid w:val="003B074A"/>
    <w:rsid w:val="003B233C"/>
    <w:rsid w:val="003B33AC"/>
    <w:rsid w:val="003B3FCE"/>
    <w:rsid w:val="003B566E"/>
    <w:rsid w:val="003B7D51"/>
    <w:rsid w:val="003C112C"/>
    <w:rsid w:val="003C16AA"/>
    <w:rsid w:val="003C2685"/>
    <w:rsid w:val="003C306B"/>
    <w:rsid w:val="003C3AEA"/>
    <w:rsid w:val="003C40EB"/>
    <w:rsid w:val="003C53F0"/>
    <w:rsid w:val="003C5ED7"/>
    <w:rsid w:val="003D2212"/>
    <w:rsid w:val="003D24D5"/>
    <w:rsid w:val="003D3CA5"/>
    <w:rsid w:val="003D60C1"/>
    <w:rsid w:val="003D7536"/>
    <w:rsid w:val="003E0E51"/>
    <w:rsid w:val="003E21E0"/>
    <w:rsid w:val="003E2FD8"/>
    <w:rsid w:val="003E3C0F"/>
    <w:rsid w:val="003E57B2"/>
    <w:rsid w:val="003E6E89"/>
    <w:rsid w:val="003F12E4"/>
    <w:rsid w:val="003F21F4"/>
    <w:rsid w:val="003F71FD"/>
    <w:rsid w:val="003F7F59"/>
    <w:rsid w:val="00400111"/>
    <w:rsid w:val="00400193"/>
    <w:rsid w:val="00400638"/>
    <w:rsid w:val="0040108F"/>
    <w:rsid w:val="004034A4"/>
    <w:rsid w:val="00404009"/>
    <w:rsid w:val="004042D9"/>
    <w:rsid w:val="00405DDB"/>
    <w:rsid w:val="0040675D"/>
    <w:rsid w:val="0040788D"/>
    <w:rsid w:val="00416C19"/>
    <w:rsid w:val="0041779B"/>
    <w:rsid w:val="004204D0"/>
    <w:rsid w:val="00420E94"/>
    <w:rsid w:val="00421BB9"/>
    <w:rsid w:val="004220DB"/>
    <w:rsid w:val="00422AA4"/>
    <w:rsid w:val="004235EC"/>
    <w:rsid w:val="00424ECC"/>
    <w:rsid w:val="004270BE"/>
    <w:rsid w:val="00427229"/>
    <w:rsid w:val="00430A1A"/>
    <w:rsid w:val="00431037"/>
    <w:rsid w:val="004329E3"/>
    <w:rsid w:val="00434333"/>
    <w:rsid w:val="0043540C"/>
    <w:rsid w:val="004364CA"/>
    <w:rsid w:val="0044064D"/>
    <w:rsid w:val="004476B2"/>
    <w:rsid w:val="004504E6"/>
    <w:rsid w:val="004504EA"/>
    <w:rsid w:val="0045147E"/>
    <w:rsid w:val="00451FAB"/>
    <w:rsid w:val="00455B21"/>
    <w:rsid w:val="0046025D"/>
    <w:rsid w:val="0046238F"/>
    <w:rsid w:val="00465283"/>
    <w:rsid w:val="00466158"/>
    <w:rsid w:val="004669AD"/>
    <w:rsid w:val="00470413"/>
    <w:rsid w:val="004705A6"/>
    <w:rsid w:val="00473CE7"/>
    <w:rsid w:val="0047436A"/>
    <w:rsid w:val="0047571F"/>
    <w:rsid w:val="00476A10"/>
    <w:rsid w:val="00481074"/>
    <w:rsid w:val="00484F2E"/>
    <w:rsid w:val="00486CB1"/>
    <w:rsid w:val="004872EA"/>
    <w:rsid w:val="00495A34"/>
    <w:rsid w:val="00495F09"/>
    <w:rsid w:val="00497315"/>
    <w:rsid w:val="004A1B06"/>
    <w:rsid w:val="004A1FF0"/>
    <w:rsid w:val="004A3D9C"/>
    <w:rsid w:val="004A46E9"/>
    <w:rsid w:val="004A7E4D"/>
    <w:rsid w:val="004B0910"/>
    <w:rsid w:val="004B3635"/>
    <w:rsid w:val="004C31A3"/>
    <w:rsid w:val="004C7C13"/>
    <w:rsid w:val="004D1CD5"/>
    <w:rsid w:val="004D3347"/>
    <w:rsid w:val="004D58D6"/>
    <w:rsid w:val="004D629E"/>
    <w:rsid w:val="004D63B1"/>
    <w:rsid w:val="004D67B5"/>
    <w:rsid w:val="004D7E43"/>
    <w:rsid w:val="004E422D"/>
    <w:rsid w:val="004E4873"/>
    <w:rsid w:val="004E537A"/>
    <w:rsid w:val="004E5788"/>
    <w:rsid w:val="004F0022"/>
    <w:rsid w:val="004F034F"/>
    <w:rsid w:val="004F1EC6"/>
    <w:rsid w:val="004F1FDB"/>
    <w:rsid w:val="004F5CBB"/>
    <w:rsid w:val="004F792E"/>
    <w:rsid w:val="0050098B"/>
    <w:rsid w:val="00500CFB"/>
    <w:rsid w:val="00501602"/>
    <w:rsid w:val="00502899"/>
    <w:rsid w:val="005035F7"/>
    <w:rsid w:val="00506616"/>
    <w:rsid w:val="00512CB5"/>
    <w:rsid w:val="00513D0D"/>
    <w:rsid w:val="00513D81"/>
    <w:rsid w:val="005159A1"/>
    <w:rsid w:val="00515B8A"/>
    <w:rsid w:val="0051786D"/>
    <w:rsid w:val="00522BF2"/>
    <w:rsid w:val="005264CB"/>
    <w:rsid w:val="0053345A"/>
    <w:rsid w:val="00534168"/>
    <w:rsid w:val="00537AF4"/>
    <w:rsid w:val="00540357"/>
    <w:rsid w:val="00542D43"/>
    <w:rsid w:val="0054336A"/>
    <w:rsid w:val="005437A9"/>
    <w:rsid w:val="005512D5"/>
    <w:rsid w:val="00552A07"/>
    <w:rsid w:val="005555DD"/>
    <w:rsid w:val="00555883"/>
    <w:rsid w:val="00555934"/>
    <w:rsid w:val="00555F8F"/>
    <w:rsid w:val="005566C9"/>
    <w:rsid w:val="005578A9"/>
    <w:rsid w:val="0056148B"/>
    <w:rsid w:val="00562D65"/>
    <w:rsid w:val="00565669"/>
    <w:rsid w:val="00570033"/>
    <w:rsid w:val="0057363C"/>
    <w:rsid w:val="0057409E"/>
    <w:rsid w:val="00575004"/>
    <w:rsid w:val="00575772"/>
    <w:rsid w:val="005774BB"/>
    <w:rsid w:val="00582268"/>
    <w:rsid w:val="005825FD"/>
    <w:rsid w:val="005832B2"/>
    <w:rsid w:val="00590D73"/>
    <w:rsid w:val="00594DA0"/>
    <w:rsid w:val="005969EE"/>
    <w:rsid w:val="005A1C2F"/>
    <w:rsid w:val="005A4DA1"/>
    <w:rsid w:val="005A693D"/>
    <w:rsid w:val="005A7A59"/>
    <w:rsid w:val="005B2E7C"/>
    <w:rsid w:val="005B5BF3"/>
    <w:rsid w:val="005B6DCA"/>
    <w:rsid w:val="005B74E6"/>
    <w:rsid w:val="005C01BD"/>
    <w:rsid w:val="005C07DD"/>
    <w:rsid w:val="005C3A27"/>
    <w:rsid w:val="005C6D8D"/>
    <w:rsid w:val="005C7FA0"/>
    <w:rsid w:val="005D0978"/>
    <w:rsid w:val="005D37FD"/>
    <w:rsid w:val="005D466B"/>
    <w:rsid w:val="005D6F70"/>
    <w:rsid w:val="005D7FC6"/>
    <w:rsid w:val="005E3FB2"/>
    <w:rsid w:val="005E6BA9"/>
    <w:rsid w:val="005E7566"/>
    <w:rsid w:val="005F0B10"/>
    <w:rsid w:val="005F1628"/>
    <w:rsid w:val="005F280E"/>
    <w:rsid w:val="005F5BF4"/>
    <w:rsid w:val="005F64E2"/>
    <w:rsid w:val="005F7C0C"/>
    <w:rsid w:val="00601546"/>
    <w:rsid w:val="00601B91"/>
    <w:rsid w:val="0060320F"/>
    <w:rsid w:val="006042A7"/>
    <w:rsid w:val="0060466E"/>
    <w:rsid w:val="006122B2"/>
    <w:rsid w:val="00613BA5"/>
    <w:rsid w:val="00614532"/>
    <w:rsid w:val="00614BFC"/>
    <w:rsid w:val="00615684"/>
    <w:rsid w:val="00615D17"/>
    <w:rsid w:val="00615D90"/>
    <w:rsid w:val="006179E1"/>
    <w:rsid w:val="0062156B"/>
    <w:rsid w:val="00623D17"/>
    <w:rsid w:val="0062440B"/>
    <w:rsid w:val="006309A9"/>
    <w:rsid w:val="006311B8"/>
    <w:rsid w:val="006377D7"/>
    <w:rsid w:val="00642F95"/>
    <w:rsid w:val="006460F7"/>
    <w:rsid w:val="006536DE"/>
    <w:rsid w:val="00656944"/>
    <w:rsid w:val="00657496"/>
    <w:rsid w:val="00662051"/>
    <w:rsid w:val="00663305"/>
    <w:rsid w:val="00664D54"/>
    <w:rsid w:val="00665F57"/>
    <w:rsid w:val="006664DE"/>
    <w:rsid w:val="006667D7"/>
    <w:rsid w:val="00670294"/>
    <w:rsid w:val="0068032F"/>
    <w:rsid w:val="006814C8"/>
    <w:rsid w:val="00683398"/>
    <w:rsid w:val="00683B14"/>
    <w:rsid w:val="00684C2C"/>
    <w:rsid w:val="00685610"/>
    <w:rsid w:val="00686097"/>
    <w:rsid w:val="00693E04"/>
    <w:rsid w:val="00693FC2"/>
    <w:rsid w:val="00694496"/>
    <w:rsid w:val="00695483"/>
    <w:rsid w:val="00696984"/>
    <w:rsid w:val="0069741E"/>
    <w:rsid w:val="00697DAA"/>
    <w:rsid w:val="006A04FE"/>
    <w:rsid w:val="006A1745"/>
    <w:rsid w:val="006A1A7A"/>
    <w:rsid w:val="006A3181"/>
    <w:rsid w:val="006A38B1"/>
    <w:rsid w:val="006A4601"/>
    <w:rsid w:val="006A66D4"/>
    <w:rsid w:val="006B11CF"/>
    <w:rsid w:val="006B11D9"/>
    <w:rsid w:val="006B14AE"/>
    <w:rsid w:val="006B21BD"/>
    <w:rsid w:val="006B271A"/>
    <w:rsid w:val="006B38E9"/>
    <w:rsid w:val="006B3FFC"/>
    <w:rsid w:val="006B527F"/>
    <w:rsid w:val="006C0D0E"/>
    <w:rsid w:val="006C28A7"/>
    <w:rsid w:val="006C2C29"/>
    <w:rsid w:val="006C317B"/>
    <w:rsid w:val="006C3F99"/>
    <w:rsid w:val="006C5165"/>
    <w:rsid w:val="006D2465"/>
    <w:rsid w:val="006D327D"/>
    <w:rsid w:val="006D3419"/>
    <w:rsid w:val="006D35AD"/>
    <w:rsid w:val="006D4FF0"/>
    <w:rsid w:val="006D5464"/>
    <w:rsid w:val="006D5B29"/>
    <w:rsid w:val="006E0FA9"/>
    <w:rsid w:val="006E1529"/>
    <w:rsid w:val="006E1ACD"/>
    <w:rsid w:val="006E22CF"/>
    <w:rsid w:val="006E4714"/>
    <w:rsid w:val="006E4846"/>
    <w:rsid w:val="006E55AF"/>
    <w:rsid w:val="006E64F6"/>
    <w:rsid w:val="006E6B4E"/>
    <w:rsid w:val="006F18CD"/>
    <w:rsid w:val="006F27FB"/>
    <w:rsid w:val="006F2CEA"/>
    <w:rsid w:val="006F3F01"/>
    <w:rsid w:val="006F4C60"/>
    <w:rsid w:val="006F706E"/>
    <w:rsid w:val="00700E77"/>
    <w:rsid w:val="00704D8A"/>
    <w:rsid w:val="00705483"/>
    <w:rsid w:val="00705BC3"/>
    <w:rsid w:val="007063CA"/>
    <w:rsid w:val="00710033"/>
    <w:rsid w:val="00710D40"/>
    <w:rsid w:val="00712548"/>
    <w:rsid w:val="007151B7"/>
    <w:rsid w:val="007228FB"/>
    <w:rsid w:val="0072374C"/>
    <w:rsid w:val="00723AD0"/>
    <w:rsid w:val="00730D39"/>
    <w:rsid w:val="007322C0"/>
    <w:rsid w:val="0073275C"/>
    <w:rsid w:val="007327FA"/>
    <w:rsid w:val="00732D4E"/>
    <w:rsid w:val="007333C7"/>
    <w:rsid w:val="0073715A"/>
    <w:rsid w:val="00745E9D"/>
    <w:rsid w:val="00747C6D"/>
    <w:rsid w:val="00751945"/>
    <w:rsid w:val="007523C4"/>
    <w:rsid w:val="00754CBD"/>
    <w:rsid w:val="0076001F"/>
    <w:rsid w:val="00762656"/>
    <w:rsid w:val="007645B2"/>
    <w:rsid w:val="00764793"/>
    <w:rsid w:val="00770925"/>
    <w:rsid w:val="00771533"/>
    <w:rsid w:val="00771C27"/>
    <w:rsid w:val="00774078"/>
    <w:rsid w:val="00775245"/>
    <w:rsid w:val="007771DF"/>
    <w:rsid w:val="0077721B"/>
    <w:rsid w:val="0077775C"/>
    <w:rsid w:val="00781BF2"/>
    <w:rsid w:val="00784D1F"/>
    <w:rsid w:val="00785CCE"/>
    <w:rsid w:val="00787BCC"/>
    <w:rsid w:val="007902B0"/>
    <w:rsid w:val="00791DAD"/>
    <w:rsid w:val="00791DC9"/>
    <w:rsid w:val="007920EA"/>
    <w:rsid w:val="007946FA"/>
    <w:rsid w:val="0079527F"/>
    <w:rsid w:val="0079596A"/>
    <w:rsid w:val="00796758"/>
    <w:rsid w:val="00797D39"/>
    <w:rsid w:val="007A0093"/>
    <w:rsid w:val="007A1FAA"/>
    <w:rsid w:val="007A33E2"/>
    <w:rsid w:val="007A44C4"/>
    <w:rsid w:val="007A58F6"/>
    <w:rsid w:val="007A5A06"/>
    <w:rsid w:val="007A63BB"/>
    <w:rsid w:val="007A6887"/>
    <w:rsid w:val="007B0E35"/>
    <w:rsid w:val="007B48CD"/>
    <w:rsid w:val="007C117D"/>
    <w:rsid w:val="007C3BC3"/>
    <w:rsid w:val="007C405A"/>
    <w:rsid w:val="007C5FBB"/>
    <w:rsid w:val="007C712C"/>
    <w:rsid w:val="007C7580"/>
    <w:rsid w:val="007C7F74"/>
    <w:rsid w:val="007D3036"/>
    <w:rsid w:val="007D57C3"/>
    <w:rsid w:val="007E1219"/>
    <w:rsid w:val="007E1373"/>
    <w:rsid w:val="007E19ED"/>
    <w:rsid w:val="007E1C9E"/>
    <w:rsid w:val="007E24B6"/>
    <w:rsid w:val="007E2951"/>
    <w:rsid w:val="007E63D2"/>
    <w:rsid w:val="007F2DBE"/>
    <w:rsid w:val="007F42A6"/>
    <w:rsid w:val="007F4888"/>
    <w:rsid w:val="007F5B27"/>
    <w:rsid w:val="007F697D"/>
    <w:rsid w:val="007F7D33"/>
    <w:rsid w:val="0080042E"/>
    <w:rsid w:val="00801818"/>
    <w:rsid w:val="00801B50"/>
    <w:rsid w:val="00803FF6"/>
    <w:rsid w:val="0080636F"/>
    <w:rsid w:val="00806DC0"/>
    <w:rsid w:val="00813524"/>
    <w:rsid w:val="008158D5"/>
    <w:rsid w:val="0082087A"/>
    <w:rsid w:val="00821104"/>
    <w:rsid w:val="00823370"/>
    <w:rsid w:val="00824B25"/>
    <w:rsid w:val="00824E81"/>
    <w:rsid w:val="00824FA2"/>
    <w:rsid w:val="00826070"/>
    <w:rsid w:val="0082636E"/>
    <w:rsid w:val="008271C3"/>
    <w:rsid w:val="00827288"/>
    <w:rsid w:val="00830C60"/>
    <w:rsid w:val="00830E4F"/>
    <w:rsid w:val="00832DFA"/>
    <w:rsid w:val="00836EC0"/>
    <w:rsid w:val="00841962"/>
    <w:rsid w:val="0084669F"/>
    <w:rsid w:val="00850DC5"/>
    <w:rsid w:val="008535B3"/>
    <w:rsid w:val="00855F7F"/>
    <w:rsid w:val="0085727C"/>
    <w:rsid w:val="0086211A"/>
    <w:rsid w:val="00864711"/>
    <w:rsid w:val="00865751"/>
    <w:rsid w:val="0086588C"/>
    <w:rsid w:val="00873592"/>
    <w:rsid w:val="00873678"/>
    <w:rsid w:val="008739A7"/>
    <w:rsid w:val="00873AD7"/>
    <w:rsid w:val="00874637"/>
    <w:rsid w:val="00874D4B"/>
    <w:rsid w:val="0087570F"/>
    <w:rsid w:val="00877BA4"/>
    <w:rsid w:val="00881B43"/>
    <w:rsid w:val="00881FE3"/>
    <w:rsid w:val="0088290F"/>
    <w:rsid w:val="008837AD"/>
    <w:rsid w:val="008841F6"/>
    <w:rsid w:val="00885C82"/>
    <w:rsid w:val="00886FB7"/>
    <w:rsid w:val="008911F4"/>
    <w:rsid w:val="00893589"/>
    <w:rsid w:val="008957BD"/>
    <w:rsid w:val="008A13E2"/>
    <w:rsid w:val="008A2146"/>
    <w:rsid w:val="008A3A88"/>
    <w:rsid w:val="008A3BF0"/>
    <w:rsid w:val="008A443F"/>
    <w:rsid w:val="008A520F"/>
    <w:rsid w:val="008A700E"/>
    <w:rsid w:val="008B07B9"/>
    <w:rsid w:val="008B1BEB"/>
    <w:rsid w:val="008B248C"/>
    <w:rsid w:val="008B37A0"/>
    <w:rsid w:val="008B3BB3"/>
    <w:rsid w:val="008B4D58"/>
    <w:rsid w:val="008B6AFE"/>
    <w:rsid w:val="008B726D"/>
    <w:rsid w:val="008C0CFA"/>
    <w:rsid w:val="008C0E00"/>
    <w:rsid w:val="008C3297"/>
    <w:rsid w:val="008C66F4"/>
    <w:rsid w:val="008C6AFD"/>
    <w:rsid w:val="008C737D"/>
    <w:rsid w:val="008D0339"/>
    <w:rsid w:val="008D5CEC"/>
    <w:rsid w:val="008D6198"/>
    <w:rsid w:val="008E0216"/>
    <w:rsid w:val="008E0834"/>
    <w:rsid w:val="008E3367"/>
    <w:rsid w:val="008E4795"/>
    <w:rsid w:val="008E4B08"/>
    <w:rsid w:val="008E6307"/>
    <w:rsid w:val="008E6551"/>
    <w:rsid w:val="008E6CA9"/>
    <w:rsid w:val="008E7A9F"/>
    <w:rsid w:val="008F3744"/>
    <w:rsid w:val="008F594E"/>
    <w:rsid w:val="008F699B"/>
    <w:rsid w:val="008F7433"/>
    <w:rsid w:val="00901413"/>
    <w:rsid w:val="009051E4"/>
    <w:rsid w:val="00905802"/>
    <w:rsid w:val="00906099"/>
    <w:rsid w:val="009108B1"/>
    <w:rsid w:val="00911261"/>
    <w:rsid w:val="00911FC8"/>
    <w:rsid w:val="0091442D"/>
    <w:rsid w:val="00914C21"/>
    <w:rsid w:val="00914FA7"/>
    <w:rsid w:val="009217FE"/>
    <w:rsid w:val="009226C5"/>
    <w:rsid w:val="009255CD"/>
    <w:rsid w:val="00925AAC"/>
    <w:rsid w:val="00927F54"/>
    <w:rsid w:val="00931E16"/>
    <w:rsid w:val="00933B91"/>
    <w:rsid w:val="0093403D"/>
    <w:rsid w:val="009356CC"/>
    <w:rsid w:val="009376D0"/>
    <w:rsid w:val="00943ADC"/>
    <w:rsid w:val="00944543"/>
    <w:rsid w:val="00944624"/>
    <w:rsid w:val="009458F7"/>
    <w:rsid w:val="00945B73"/>
    <w:rsid w:val="00945C0F"/>
    <w:rsid w:val="00946A13"/>
    <w:rsid w:val="00951524"/>
    <w:rsid w:val="00953A19"/>
    <w:rsid w:val="00954245"/>
    <w:rsid w:val="009572A3"/>
    <w:rsid w:val="00962198"/>
    <w:rsid w:val="0096327A"/>
    <w:rsid w:val="009635E8"/>
    <w:rsid w:val="00967D9A"/>
    <w:rsid w:val="00973DAD"/>
    <w:rsid w:val="009776B0"/>
    <w:rsid w:val="009779E3"/>
    <w:rsid w:val="00977E9C"/>
    <w:rsid w:val="009806E1"/>
    <w:rsid w:val="009817BB"/>
    <w:rsid w:val="00983FC1"/>
    <w:rsid w:val="0099004E"/>
    <w:rsid w:val="009906D2"/>
    <w:rsid w:val="00991DB6"/>
    <w:rsid w:val="00992689"/>
    <w:rsid w:val="00992FA6"/>
    <w:rsid w:val="00994785"/>
    <w:rsid w:val="00994A54"/>
    <w:rsid w:val="009954DE"/>
    <w:rsid w:val="00995E55"/>
    <w:rsid w:val="009962B2"/>
    <w:rsid w:val="009A036D"/>
    <w:rsid w:val="009A2DA5"/>
    <w:rsid w:val="009A3C3D"/>
    <w:rsid w:val="009A6C90"/>
    <w:rsid w:val="009A772A"/>
    <w:rsid w:val="009A7DE9"/>
    <w:rsid w:val="009B1699"/>
    <w:rsid w:val="009C01AB"/>
    <w:rsid w:val="009C08DB"/>
    <w:rsid w:val="009C1026"/>
    <w:rsid w:val="009C3A95"/>
    <w:rsid w:val="009C5829"/>
    <w:rsid w:val="009D19F0"/>
    <w:rsid w:val="009D4EEC"/>
    <w:rsid w:val="009E03E7"/>
    <w:rsid w:val="009E15F4"/>
    <w:rsid w:val="009E2E29"/>
    <w:rsid w:val="009E3A9B"/>
    <w:rsid w:val="009E5EED"/>
    <w:rsid w:val="009E685E"/>
    <w:rsid w:val="009F47B6"/>
    <w:rsid w:val="00A01250"/>
    <w:rsid w:val="00A046DB"/>
    <w:rsid w:val="00A052E8"/>
    <w:rsid w:val="00A06596"/>
    <w:rsid w:val="00A07797"/>
    <w:rsid w:val="00A10EB4"/>
    <w:rsid w:val="00A11928"/>
    <w:rsid w:val="00A11E6B"/>
    <w:rsid w:val="00A13620"/>
    <w:rsid w:val="00A13B2F"/>
    <w:rsid w:val="00A151B6"/>
    <w:rsid w:val="00A1666B"/>
    <w:rsid w:val="00A2290B"/>
    <w:rsid w:val="00A24469"/>
    <w:rsid w:val="00A32834"/>
    <w:rsid w:val="00A32AFB"/>
    <w:rsid w:val="00A340EF"/>
    <w:rsid w:val="00A46A94"/>
    <w:rsid w:val="00A4777E"/>
    <w:rsid w:val="00A50F19"/>
    <w:rsid w:val="00A50FD0"/>
    <w:rsid w:val="00A511BF"/>
    <w:rsid w:val="00A5261A"/>
    <w:rsid w:val="00A61845"/>
    <w:rsid w:val="00A6270D"/>
    <w:rsid w:val="00A6278B"/>
    <w:rsid w:val="00A631E7"/>
    <w:rsid w:val="00A640B0"/>
    <w:rsid w:val="00A6481C"/>
    <w:rsid w:val="00A64ECB"/>
    <w:rsid w:val="00A652E9"/>
    <w:rsid w:val="00A65F8F"/>
    <w:rsid w:val="00A666A6"/>
    <w:rsid w:val="00A66E12"/>
    <w:rsid w:val="00A67B5E"/>
    <w:rsid w:val="00A71DF8"/>
    <w:rsid w:val="00A74B3A"/>
    <w:rsid w:val="00A756A9"/>
    <w:rsid w:val="00A763EE"/>
    <w:rsid w:val="00A829A0"/>
    <w:rsid w:val="00A87649"/>
    <w:rsid w:val="00A8787E"/>
    <w:rsid w:val="00A90055"/>
    <w:rsid w:val="00A91609"/>
    <w:rsid w:val="00A93699"/>
    <w:rsid w:val="00A947A5"/>
    <w:rsid w:val="00A94EB1"/>
    <w:rsid w:val="00AA1BA5"/>
    <w:rsid w:val="00AA22FB"/>
    <w:rsid w:val="00AA31B3"/>
    <w:rsid w:val="00AA32BA"/>
    <w:rsid w:val="00AA32CA"/>
    <w:rsid w:val="00AA4987"/>
    <w:rsid w:val="00AA5496"/>
    <w:rsid w:val="00AA675E"/>
    <w:rsid w:val="00AB0AC4"/>
    <w:rsid w:val="00AB25A2"/>
    <w:rsid w:val="00AB49C1"/>
    <w:rsid w:val="00AB58CF"/>
    <w:rsid w:val="00AB5C74"/>
    <w:rsid w:val="00AB60C4"/>
    <w:rsid w:val="00AB621A"/>
    <w:rsid w:val="00AC3063"/>
    <w:rsid w:val="00AC43E2"/>
    <w:rsid w:val="00AC4EA6"/>
    <w:rsid w:val="00AD0A4B"/>
    <w:rsid w:val="00AD1007"/>
    <w:rsid w:val="00AD415A"/>
    <w:rsid w:val="00AD45F7"/>
    <w:rsid w:val="00AD53F0"/>
    <w:rsid w:val="00AD7034"/>
    <w:rsid w:val="00AE03BB"/>
    <w:rsid w:val="00AE1CE2"/>
    <w:rsid w:val="00AE1FCA"/>
    <w:rsid w:val="00AE32CF"/>
    <w:rsid w:val="00AE5238"/>
    <w:rsid w:val="00AF3182"/>
    <w:rsid w:val="00AF33CA"/>
    <w:rsid w:val="00AF7840"/>
    <w:rsid w:val="00AF7F57"/>
    <w:rsid w:val="00B003D4"/>
    <w:rsid w:val="00B034B6"/>
    <w:rsid w:val="00B038D7"/>
    <w:rsid w:val="00B04987"/>
    <w:rsid w:val="00B05507"/>
    <w:rsid w:val="00B06A67"/>
    <w:rsid w:val="00B1082B"/>
    <w:rsid w:val="00B11217"/>
    <w:rsid w:val="00B11D37"/>
    <w:rsid w:val="00B14827"/>
    <w:rsid w:val="00B14F3A"/>
    <w:rsid w:val="00B15C7A"/>
    <w:rsid w:val="00B15D3F"/>
    <w:rsid w:val="00B17B23"/>
    <w:rsid w:val="00B17C06"/>
    <w:rsid w:val="00B205FE"/>
    <w:rsid w:val="00B206DF"/>
    <w:rsid w:val="00B2188C"/>
    <w:rsid w:val="00B219A6"/>
    <w:rsid w:val="00B220D9"/>
    <w:rsid w:val="00B241A4"/>
    <w:rsid w:val="00B24521"/>
    <w:rsid w:val="00B257AD"/>
    <w:rsid w:val="00B26231"/>
    <w:rsid w:val="00B27943"/>
    <w:rsid w:val="00B302AB"/>
    <w:rsid w:val="00B3059B"/>
    <w:rsid w:val="00B30625"/>
    <w:rsid w:val="00B335E5"/>
    <w:rsid w:val="00B343AF"/>
    <w:rsid w:val="00B41372"/>
    <w:rsid w:val="00B44976"/>
    <w:rsid w:val="00B463C5"/>
    <w:rsid w:val="00B51C65"/>
    <w:rsid w:val="00B6336C"/>
    <w:rsid w:val="00B634C7"/>
    <w:rsid w:val="00B64970"/>
    <w:rsid w:val="00B650F9"/>
    <w:rsid w:val="00B679FC"/>
    <w:rsid w:val="00B67A9D"/>
    <w:rsid w:val="00B67F60"/>
    <w:rsid w:val="00B71F52"/>
    <w:rsid w:val="00B7296F"/>
    <w:rsid w:val="00B729DF"/>
    <w:rsid w:val="00B73263"/>
    <w:rsid w:val="00B74FDF"/>
    <w:rsid w:val="00B75C8A"/>
    <w:rsid w:val="00B75F36"/>
    <w:rsid w:val="00B805E7"/>
    <w:rsid w:val="00B8223F"/>
    <w:rsid w:val="00B8327F"/>
    <w:rsid w:val="00B8346E"/>
    <w:rsid w:val="00B83B8A"/>
    <w:rsid w:val="00B858D4"/>
    <w:rsid w:val="00B900F4"/>
    <w:rsid w:val="00B9019C"/>
    <w:rsid w:val="00B92F86"/>
    <w:rsid w:val="00B931A0"/>
    <w:rsid w:val="00B95BE7"/>
    <w:rsid w:val="00BA06A2"/>
    <w:rsid w:val="00BA1ABB"/>
    <w:rsid w:val="00BA36DE"/>
    <w:rsid w:val="00BB0719"/>
    <w:rsid w:val="00BB15D1"/>
    <w:rsid w:val="00BB1F4B"/>
    <w:rsid w:val="00BB4507"/>
    <w:rsid w:val="00BB493A"/>
    <w:rsid w:val="00BC02BA"/>
    <w:rsid w:val="00BC1906"/>
    <w:rsid w:val="00BC373D"/>
    <w:rsid w:val="00BC4854"/>
    <w:rsid w:val="00BC512D"/>
    <w:rsid w:val="00BC589F"/>
    <w:rsid w:val="00BD17F5"/>
    <w:rsid w:val="00BD29F4"/>
    <w:rsid w:val="00BD58C0"/>
    <w:rsid w:val="00BD650A"/>
    <w:rsid w:val="00BE557E"/>
    <w:rsid w:val="00BE7234"/>
    <w:rsid w:val="00BF0C40"/>
    <w:rsid w:val="00BF255E"/>
    <w:rsid w:val="00BF77EF"/>
    <w:rsid w:val="00C0127A"/>
    <w:rsid w:val="00C0164B"/>
    <w:rsid w:val="00C01F48"/>
    <w:rsid w:val="00C02B1A"/>
    <w:rsid w:val="00C04912"/>
    <w:rsid w:val="00C05D06"/>
    <w:rsid w:val="00C11209"/>
    <w:rsid w:val="00C12490"/>
    <w:rsid w:val="00C13E9B"/>
    <w:rsid w:val="00C146D8"/>
    <w:rsid w:val="00C1548B"/>
    <w:rsid w:val="00C15BFA"/>
    <w:rsid w:val="00C15C03"/>
    <w:rsid w:val="00C178C7"/>
    <w:rsid w:val="00C21CD6"/>
    <w:rsid w:val="00C2466F"/>
    <w:rsid w:val="00C262B0"/>
    <w:rsid w:val="00C262C5"/>
    <w:rsid w:val="00C27788"/>
    <w:rsid w:val="00C360C1"/>
    <w:rsid w:val="00C3665C"/>
    <w:rsid w:val="00C36D76"/>
    <w:rsid w:val="00C403D9"/>
    <w:rsid w:val="00C41430"/>
    <w:rsid w:val="00C4372B"/>
    <w:rsid w:val="00C43735"/>
    <w:rsid w:val="00C43BCD"/>
    <w:rsid w:val="00C44B41"/>
    <w:rsid w:val="00C47B72"/>
    <w:rsid w:val="00C507F8"/>
    <w:rsid w:val="00C52205"/>
    <w:rsid w:val="00C54B6D"/>
    <w:rsid w:val="00C66C26"/>
    <w:rsid w:val="00C67925"/>
    <w:rsid w:val="00C70144"/>
    <w:rsid w:val="00C706D4"/>
    <w:rsid w:val="00C70F48"/>
    <w:rsid w:val="00C70FCD"/>
    <w:rsid w:val="00C717B6"/>
    <w:rsid w:val="00C71EAB"/>
    <w:rsid w:val="00C7399F"/>
    <w:rsid w:val="00C85026"/>
    <w:rsid w:val="00C90F82"/>
    <w:rsid w:val="00C91074"/>
    <w:rsid w:val="00C93213"/>
    <w:rsid w:val="00C952B8"/>
    <w:rsid w:val="00C97C18"/>
    <w:rsid w:val="00CA10F5"/>
    <w:rsid w:val="00CA1933"/>
    <w:rsid w:val="00CA3AF4"/>
    <w:rsid w:val="00CA6A7D"/>
    <w:rsid w:val="00CB0E04"/>
    <w:rsid w:val="00CB1142"/>
    <w:rsid w:val="00CB19B0"/>
    <w:rsid w:val="00CB2C5B"/>
    <w:rsid w:val="00CB42F7"/>
    <w:rsid w:val="00CB495D"/>
    <w:rsid w:val="00CB5273"/>
    <w:rsid w:val="00CB63AC"/>
    <w:rsid w:val="00CB69CD"/>
    <w:rsid w:val="00CB69F0"/>
    <w:rsid w:val="00CC06C0"/>
    <w:rsid w:val="00CC42F1"/>
    <w:rsid w:val="00CC567B"/>
    <w:rsid w:val="00CD1684"/>
    <w:rsid w:val="00CD2864"/>
    <w:rsid w:val="00CD3476"/>
    <w:rsid w:val="00CD4235"/>
    <w:rsid w:val="00CD45D0"/>
    <w:rsid w:val="00CD53EC"/>
    <w:rsid w:val="00CD59E9"/>
    <w:rsid w:val="00CE1A2F"/>
    <w:rsid w:val="00CE4434"/>
    <w:rsid w:val="00CE7303"/>
    <w:rsid w:val="00CF1577"/>
    <w:rsid w:val="00CF18C6"/>
    <w:rsid w:val="00CF2992"/>
    <w:rsid w:val="00D01F16"/>
    <w:rsid w:val="00D0355C"/>
    <w:rsid w:val="00D0571F"/>
    <w:rsid w:val="00D06AED"/>
    <w:rsid w:val="00D07781"/>
    <w:rsid w:val="00D07A40"/>
    <w:rsid w:val="00D07BA6"/>
    <w:rsid w:val="00D1002D"/>
    <w:rsid w:val="00D10311"/>
    <w:rsid w:val="00D1096D"/>
    <w:rsid w:val="00D128D6"/>
    <w:rsid w:val="00D16569"/>
    <w:rsid w:val="00D1696E"/>
    <w:rsid w:val="00D173B3"/>
    <w:rsid w:val="00D2081A"/>
    <w:rsid w:val="00D21C8A"/>
    <w:rsid w:val="00D23385"/>
    <w:rsid w:val="00D2476A"/>
    <w:rsid w:val="00D345B4"/>
    <w:rsid w:val="00D34F52"/>
    <w:rsid w:val="00D42971"/>
    <w:rsid w:val="00D45743"/>
    <w:rsid w:val="00D46855"/>
    <w:rsid w:val="00D47255"/>
    <w:rsid w:val="00D53B1C"/>
    <w:rsid w:val="00D5433E"/>
    <w:rsid w:val="00D631CC"/>
    <w:rsid w:val="00D64434"/>
    <w:rsid w:val="00D648C2"/>
    <w:rsid w:val="00D7308B"/>
    <w:rsid w:val="00D73DBE"/>
    <w:rsid w:val="00D772C8"/>
    <w:rsid w:val="00D801C4"/>
    <w:rsid w:val="00D81720"/>
    <w:rsid w:val="00D82456"/>
    <w:rsid w:val="00D824C2"/>
    <w:rsid w:val="00D830D4"/>
    <w:rsid w:val="00D916C4"/>
    <w:rsid w:val="00D93B1E"/>
    <w:rsid w:val="00DA1F71"/>
    <w:rsid w:val="00DB1788"/>
    <w:rsid w:val="00DC1F59"/>
    <w:rsid w:val="00DC2B1A"/>
    <w:rsid w:val="00DC3DDA"/>
    <w:rsid w:val="00DC4CB3"/>
    <w:rsid w:val="00DD0139"/>
    <w:rsid w:val="00DD2DDD"/>
    <w:rsid w:val="00DD42C0"/>
    <w:rsid w:val="00DD59DC"/>
    <w:rsid w:val="00DD610B"/>
    <w:rsid w:val="00DE4EDC"/>
    <w:rsid w:val="00DE5450"/>
    <w:rsid w:val="00DE5514"/>
    <w:rsid w:val="00DE64FF"/>
    <w:rsid w:val="00DF049D"/>
    <w:rsid w:val="00DF04A6"/>
    <w:rsid w:val="00DF1AE0"/>
    <w:rsid w:val="00DF20EE"/>
    <w:rsid w:val="00DF4DB1"/>
    <w:rsid w:val="00DF5928"/>
    <w:rsid w:val="00E01E12"/>
    <w:rsid w:val="00E02625"/>
    <w:rsid w:val="00E038E1"/>
    <w:rsid w:val="00E04ECE"/>
    <w:rsid w:val="00E04F5C"/>
    <w:rsid w:val="00E079F4"/>
    <w:rsid w:val="00E10459"/>
    <w:rsid w:val="00E11237"/>
    <w:rsid w:val="00E1323A"/>
    <w:rsid w:val="00E14E44"/>
    <w:rsid w:val="00E17B0E"/>
    <w:rsid w:val="00E2093A"/>
    <w:rsid w:val="00E22F0F"/>
    <w:rsid w:val="00E2603D"/>
    <w:rsid w:val="00E26B9E"/>
    <w:rsid w:val="00E322BB"/>
    <w:rsid w:val="00E34A7E"/>
    <w:rsid w:val="00E37013"/>
    <w:rsid w:val="00E43E37"/>
    <w:rsid w:val="00E46B70"/>
    <w:rsid w:val="00E47CEF"/>
    <w:rsid w:val="00E51352"/>
    <w:rsid w:val="00E51D06"/>
    <w:rsid w:val="00E535F7"/>
    <w:rsid w:val="00E54A79"/>
    <w:rsid w:val="00E55A34"/>
    <w:rsid w:val="00E56255"/>
    <w:rsid w:val="00E57DEB"/>
    <w:rsid w:val="00E61797"/>
    <w:rsid w:val="00E6229A"/>
    <w:rsid w:val="00E624C2"/>
    <w:rsid w:val="00E6259E"/>
    <w:rsid w:val="00E659F3"/>
    <w:rsid w:val="00E66521"/>
    <w:rsid w:val="00E6699A"/>
    <w:rsid w:val="00E72CA8"/>
    <w:rsid w:val="00E7362C"/>
    <w:rsid w:val="00E76DB7"/>
    <w:rsid w:val="00E76DF0"/>
    <w:rsid w:val="00E778CB"/>
    <w:rsid w:val="00E81B6D"/>
    <w:rsid w:val="00E82453"/>
    <w:rsid w:val="00E84584"/>
    <w:rsid w:val="00E86155"/>
    <w:rsid w:val="00E867B7"/>
    <w:rsid w:val="00E86D51"/>
    <w:rsid w:val="00E87CF0"/>
    <w:rsid w:val="00E9687E"/>
    <w:rsid w:val="00EA09AC"/>
    <w:rsid w:val="00EA2E3E"/>
    <w:rsid w:val="00EB37DD"/>
    <w:rsid w:val="00EB4272"/>
    <w:rsid w:val="00EB4F3D"/>
    <w:rsid w:val="00EB6FEC"/>
    <w:rsid w:val="00EC1621"/>
    <w:rsid w:val="00EC166E"/>
    <w:rsid w:val="00EC294C"/>
    <w:rsid w:val="00EC32DE"/>
    <w:rsid w:val="00EC4708"/>
    <w:rsid w:val="00EC4EF0"/>
    <w:rsid w:val="00EC7063"/>
    <w:rsid w:val="00ED0681"/>
    <w:rsid w:val="00ED0E33"/>
    <w:rsid w:val="00ED1F73"/>
    <w:rsid w:val="00ED203B"/>
    <w:rsid w:val="00ED744B"/>
    <w:rsid w:val="00EE1AC5"/>
    <w:rsid w:val="00EE6FA3"/>
    <w:rsid w:val="00EF0D38"/>
    <w:rsid w:val="00EF3569"/>
    <w:rsid w:val="00EF6159"/>
    <w:rsid w:val="00F005E8"/>
    <w:rsid w:val="00F00C58"/>
    <w:rsid w:val="00F00CA8"/>
    <w:rsid w:val="00F0173D"/>
    <w:rsid w:val="00F01960"/>
    <w:rsid w:val="00F03826"/>
    <w:rsid w:val="00F04F3D"/>
    <w:rsid w:val="00F07A9E"/>
    <w:rsid w:val="00F27106"/>
    <w:rsid w:val="00F3302C"/>
    <w:rsid w:val="00F33E02"/>
    <w:rsid w:val="00F34242"/>
    <w:rsid w:val="00F34E1F"/>
    <w:rsid w:val="00F37490"/>
    <w:rsid w:val="00F40C08"/>
    <w:rsid w:val="00F441EE"/>
    <w:rsid w:val="00F45379"/>
    <w:rsid w:val="00F45938"/>
    <w:rsid w:val="00F45E60"/>
    <w:rsid w:val="00F466DC"/>
    <w:rsid w:val="00F517C3"/>
    <w:rsid w:val="00F52371"/>
    <w:rsid w:val="00F53114"/>
    <w:rsid w:val="00F54569"/>
    <w:rsid w:val="00F57655"/>
    <w:rsid w:val="00F6120E"/>
    <w:rsid w:val="00F618BE"/>
    <w:rsid w:val="00F624EA"/>
    <w:rsid w:val="00F63A79"/>
    <w:rsid w:val="00F6533D"/>
    <w:rsid w:val="00F671E4"/>
    <w:rsid w:val="00F7233E"/>
    <w:rsid w:val="00F7398F"/>
    <w:rsid w:val="00F75FB2"/>
    <w:rsid w:val="00F76126"/>
    <w:rsid w:val="00F77126"/>
    <w:rsid w:val="00F829A5"/>
    <w:rsid w:val="00F83008"/>
    <w:rsid w:val="00F83058"/>
    <w:rsid w:val="00F831EB"/>
    <w:rsid w:val="00F839CB"/>
    <w:rsid w:val="00F850CF"/>
    <w:rsid w:val="00F8570B"/>
    <w:rsid w:val="00F904A8"/>
    <w:rsid w:val="00F92DE5"/>
    <w:rsid w:val="00F9478D"/>
    <w:rsid w:val="00F9545E"/>
    <w:rsid w:val="00F96635"/>
    <w:rsid w:val="00F966B6"/>
    <w:rsid w:val="00F96778"/>
    <w:rsid w:val="00F969F2"/>
    <w:rsid w:val="00FA0420"/>
    <w:rsid w:val="00FA4544"/>
    <w:rsid w:val="00FA73FF"/>
    <w:rsid w:val="00FA7410"/>
    <w:rsid w:val="00FB07AD"/>
    <w:rsid w:val="00FB1ABD"/>
    <w:rsid w:val="00FB2166"/>
    <w:rsid w:val="00FB345D"/>
    <w:rsid w:val="00FB4DEA"/>
    <w:rsid w:val="00FC083C"/>
    <w:rsid w:val="00FC09A7"/>
    <w:rsid w:val="00FC175B"/>
    <w:rsid w:val="00FC1D6A"/>
    <w:rsid w:val="00FC24AA"/>
    <w:rsid w:val="00FC34BB"/>
    <w:rsid w:val="00FC7EB9"/>
    <w:rsid w:val="00FD2A02"/>
    <w:rsid w:val="00FD37F4"/>
    <w:rsid w:val="00FD41FF"/>
    <w:rsid w:val="00FD4C2E"/>
    <w:rsid w:val="00FD5C9F"/>
    <w:rsid w:val="00FD733D"/>
    <w:rsid w:val="00FD74A7"/>
    <w:rsid w:val="00FE3465"/>
    <w:rsid w:val="00FE52C0"/>
    <w:rsid w:val="00FE6278"/>
    <w:rsid w:val="00FF2214"/>
    <w:rsid w:val="00FF4FD9"/>
    <w:rsid w:val="00FF5732"/>
    <w:rsid w:val="00FF7556"/>
    <w:rsid w:val="00FF7B41"/>
    <w:rsid w:val="00FF7C63"/>
    <w:rsid w:val="033675B2"/>
    <w:rsid w:val="061C7E27"/>
    <w:rsid w:val="0B895CA7"/>
    <w:rsid w:val="0C191005"/>
    <w:rsid w:val="0C2E3A60"/>
    <w:rsid w:val="0D7F3DE4"/>
    <w:rsid w:val="0F5B17D3"/>
    <w:rsid w:val="11040793"/>
    <w:rsid w:val="148216E2"/>
    <w:rsid w:val="15E3188B"/>
    <w:rsid w:val="1989696C"/>
    <w:rsid w:val="1C614B61"/>
    <w:rsid w:val="1E064ECB"/>
    <w:rsid w:val="20E02C02"/>
    <w:rsid w:val="226F090E"/>
    <w:rsid w:val="2278089B"/>
    <w:rsid w:val="230C4976"/>
    <w:rsid w:val="236C6381"/>
    <w:rsid w:val="25A03EAA"/>
    <w:rsid w:val="25F1266D"/>
    <w:rsid w:val="262660B8"/>
    <w:rsid w:val="26944F35"/>
    <w:rsid w:val="27B52214"/>
    <w:rsid w:val="28963054"/>
    <w:rsid w:val="28D076A6"/>
    <w:rsid w:val="29F50489"/>
    <w:rsid w:val="2A3A585F"/>
    <w:rsid w:val="2B0C56A0"/>
    <w:rsid w:val="2C6D431D"/>
    <w:rsid w:val="2D73209A"/>
    <w:rsid w:val="2E752FA7"/>
    <w:rsid w:val="2FA70959"/>
    <w:rsid w:val="30323C65"/>
    <w:rsid w:val="30433254"/>
    <w:rsid w:val="321973F7"/>
    <w:rsid w:val="33B45916"/>
    <w:rsid w:val="378E4D6F"/>
    <w:rsid w:val="387A469B"/>
    <w:rsid w:val="388B0392"/>
    <w:rsid w:val="3A683703"/>
    <w:rsid w:val="3B237FA0"/>
    <w:rsid w:val="3B4F5C96"/>
    <w:rsid w:val="3CD60872"/>
    <w:rsid w:val="3DFD20DF"/>
    <w:rsid w:val="3F6C5348"/>
    <w:rsid w:val="42160912"/>
    <w:rsid w:val="435D6D85"/>
    <w:rsid w:val="438909FF"/>
    <w:rsid w:val="4476002C"/>
    <w:rsid w:val="44ED544D"/>
    <w:rsid w:val="47D874FB"/>
    <w:rsid w:val="481431BD"/>
    <w:rsid w:val="484227F9"/>
    <w:rsid w:val="48BD6FE5"/>
    <w:rsid w:val="49296D15"/>
    <w:rsid w:val="4A4A44FB"/>
    <w:rsid w:val="4B2355A5"/>
    <w:rsid w:val="4CA80B70"/>
    <w:rsid w:val="4DAD4DAD"/>
    <w:rsid w:val="515C58AE"/>
    <w:rsid w:val="524D2B49"/>
    <w:rsid w:val="528D7C59"/>
    <w:rsid w:val="53C477D7"/>
    <w:rsid w:val="55552550"/>
    <w:rsid w:val="562C3318"/>
    <w:rsid w:val="564B125D"/>
    <w:rsid w:val="58F93586"/>
    <w:rsid w:val="59C23D51"/>
    <w:rsid w:val="5D077C05"/>
    <w:rsid w:val="5E165C07"/>
    <w:rsid w:val="5ECC4F01"/>
    <w:rsid w:val="5F4873AC"/>
    <w:rsid w:val="5F7960F6"/>
    <w:rsid w:val="5FF46711"/>
    <w:rsid w:val="603509F2"/>
    <w:rsid w:val="60526491"/>
    <w:rsid w:val="60864060"/>
    <w:rsid w:val="620E0506"/>
    <w:rsid w:val="65A01D55"/>
    <w:rsid w:val="678E3D96"/>
    <w:rsid w:val="67A141B4"/>
    <w:rsid w:val="69531EF7"/>
    <w:rsid w:val="6C76508A"/>
    <w:rsid w:val="6D5278DF"/>
    <w:rsid w:val="6D9D3541"/>
    <w:rsid w:val="6E34743A"/>
    <w:rsid w:val="6EF32FFF"/>
    <w:rsid w:val="6F300E44"/>
    <w:rsid w:val="74F5776C"/>
    <w:rsid w:val="76614799"/>
    <w:rsid w:val="7665747F"/>
    <w:rsid w:val="770F3446"/>
    <w:rsid w:val="77801126"/>
    <w:rsid w:val="788936D0"/>
    <w:rsid w:val="78B46FDF"/>
    <w:rsid w:val="78F250F2"/>
    <w:rsid w:val="7AFB0AE2"/>
    <w:rsid w:val="7C3C3BCB"/>
    <w:rsid w:val="7CB026A6"/>
    <w:rsid w:val="7DDA3AB8"/>
    <w:rsid w:val="7DE527A5"/>
    <w:rsid w:val="7ED938A7"/>
    <w:rsid w:val="7F2139DE"/>
    <w:rsid w:val="7FC619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iPriority="0" w:semiHidden="0" w:name="page number"/>
    <w:lsdException w:qFormat="1"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qFormat="1" w:uiPriority="0" w:semiHidden="0" w:name="List Bullet 4"/>
    <w:lsdException w:qFormat="1"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4"/>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5">
    <w:name w:val="heading 3"/>
    <w:basedOn w:val="1"/>
    <w:next w:val="1"/>
    <w:link w:val="65"/>
    <w:qFormat/>
    <w:uiPriority w:val="0"/>
    <w:pPr>
      <w:autoSpaceDE w:val="0"/>
      <w:autoSpaceDN w:val="0"/>
      <w:adjustRightInd w:val="0"/>
      <w:spacing w:before="16"/>
      <w:jc w:val="left"/>
      <w:outlineLvl w:val="2"/>
    </w:pPr>
    <w:rPr>
      <w:rFonts w:ascii="仿宋_GB2312" w:hAnsi="宋体" w:eastAsia="仿宋_GB2312" w:cs="MingLiU"/>
      <w:b/>
      <w:sz w:val="24"/>
      <w:szCs w:val="28"/>
    </w:rPr>
  </w:style>
  <w:style w:type="paragraph" w:styleId="6">
    <w:name w:val="heading 4"/>
    <w:basedOn w:val="5"/>
    <w:next w:val="1"/>
    <w:link w:val="66"/>
    <w:qFormat/>
    <w:uiPriority w:val="0"/>
    <w:pPr>
      <w:jc w:val="center"/>
      <w:outlineLvl w:val="3"/>
    </w:pPr>
  </w:style>
  <w:style w:type="paragraph" w:styleId="7">
    <w:name w:val="heading 5"/>
    <w:basedOn w:val="1"/>
    <w:next w:val="1"/>
    <w:link w:val="67"/>
    <w:qFormat/>
    <w:uiPriority w:val="0"/>
    <w:pPr>
      <w:keepNext/>
      <w:tabs>
        <w:tab w:val="left" w:pos="1008"/>
      </w:tabs>
      <w:ind w:left="1008" w:hanging="1008"/>
      <w:outlineLvl w:val="4"/>
    </w:pPr>
    <w:rPr>
      <w:i/>
      <w:sz w:val="22"/>
    </w:rPr>
  </w:style>
  <w:style w:type="paragraph" w:styleId="8">
    <w:name w:val="heading 6"/>
    <w:basedOn w:val="1"/>
    <w:next w:val="1"/>
    <w:link w:val="68"/>
    <w:qFormat/>
    <w:uiPriority w:val="0"/>
    <w:pPr>
      <w:keepNext/>
      <w:tabs>
        <w:tab w:val="left" w:pos="1152"/>
      </w:tabs>
      <w:ind w:left="1152" w:hanging="1152"/>
      <w:outlineLvl w:val="5"/>
    </w:pPr>
    <w:rPr>
      <w:i/>
      <w:sz w:val="22"/>
    </w:rPr>
  </w:style>
  <w:style w:type="paragraph" w:styleId="9">
    <w:name w:val="heading 7"/>
    <w:basedOn w:val="1"/>
    <w:next w:val="1"/>
    <w:link w:val="69"/>
    <w:qFormat/>
    <w:uiPriority w:val="0"/>
    <w:pPr>
      <w:keepNext/>
      <w:keepLines/>
      <w:spacing w:before="240" w:after="64" w:line="316" w:lineRule="auto"/>
      <w:outlineLvl w:val="6"/>
    </w:pPr>
    <w:rPr>
      <w:b/>
      <w:bCs/>
      <w:sz w:val="24"/>
    </w:rPr>
  </w:style>
  <w:style w:type="paragraph" w:styleId="10">
    <w:name w:val="heading 8"/>
    <w:basedOn w:val="1"/>
    <w:next w:val="1"/>
    <w:link w:val="70"/>
    <w:qFormat/>
    <w:uiPriority w:val="0"/>
    <w:pPr>
      <w:keepNext/>
      <w:tabs>
        <w:tab w:val="left" w:pos="1440"/>
      </w:tabs>
      <w:ind w:left="1440" w:hanging="1440"/>
      <w:outlineLvl w:val="7"/>
    </w:pPr>
    <w:rPr>
      <w:i/>
    </w:rPr>
  </w:style>
  <w:style w:type="paragraph" w:styleId="11">
    <w:name w:val="heading 9"/>
    <w:basedOn w:val="1"/>
    <w:next w:val="1"/>
    <w:link w:val="71"/>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54">
    <w:name w:val="Default Paragraph Font"/>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0"/>
    <w:pPr>
      <w:tabs>
        <w:tab w:val="left" w:pos="420"/>
      </w:tabs>
      <w:autoSpaceDE w:val="0"/>
      <w:autoSpaceDN w:val="0"/>
      <w:adjustRightInd w:val="0"/>
      <w:spacing w:line="1270" w:lineRule="exact"/>
      <w:ind w:left="300" w:right="-20" w:hanging="300" w:hangingChars="300"/>
      <w:jc w:val="left"/>
    </w:pPr>
    <w:rPr>
      <w:rFonts w:eastAsia="仿宋_GB2312"/>
      <w:sz w:val="72"/>
    </w:rPr>
  </w:style>
  <w:style w:type="paragraph" w:styleId="12">
    <w:name w:val="toc 7"/>
    <w:basedOn w:val="1"/>
    <w:next w:val="1"/>
    <w:unhideWhenUsed/>
    <w:qFormat/>
    <w:uiPriority w:val="39"/>
    <w:pPr>
      <w:tabs>
        <w:tab w:val="left" w:pos="420"/>
      </w:tabs>
      <w:ind w:left="1260"/>
      <w:jc w:val="left"/>
    </w:pPr>
    <w:rPr>
      <w:sz w:val="18"/>
      <w:szCs w:val="18"/>
    </w:rPr>
  </w:style>
  <w:style w:type="paragraph" w:styleId="13">
    <w:name w:val="List Bullet 4"/>
    <w:basedOn w:val="1"/>
    <w:unhideWhenUsed/>
    <w:qFormat/>
    <w:uiPriority w:val="0"/>
    <w:pPr>
      <w:tabs>
        <w:tab w:val="left" w:pos="1620"/>
      </w:tabs>
      <w:ind w:left="1620" w:hanging="360"/>
    </w:pPr>
  </w:style>
  <w:style w:type="paragraph" w:styleId="14">
    <w:name w:val="Normal Indent"/>
    <w:basedOn w:val="1"/>
    <w:unhideWhenUsed/>
    <w:qFormat/>
    <w:uiPriority w:val="0"/>
    <w:pPr>
      <w:tabs>
        <w:tab w:val="left" w:pos="420"/>
      </w:tabs>
      <w:ind w:firstLine="200" w:firstLineChars="200"/>
    </w:pPr>
    <w:rPr>
      <w:szCs w:val="20"/>
    </w:rPr>
  </w:style>
  <w:style w:type="paragraph" w:styleId="15">
    <w:name w:val="caption"/>
    <w:basedOn w:val="1"/>
    <w:next w:val="1"/>
    <w:unhideWhenUsed/>
    <w:qFormat/>
    <w:uiPriority w:val="0"/>
    <w:pPr>
      <w:tabs>
        <w:tab w:val="left" w:pos="420"/>
      </w:tabs>
    </w:pPr>
    <w:rPr>
      <w:rFonts w:ascii="Cambria" w:hAnsi="Cambria" w:eastAsia="黑体"/>
      <w:sz w:val="20"/>
      <w:szCs w:val="20"/>
    </w:rPr>
  </w:style>
  <w:style w:type="paragraph" w:styleId="16">
    <w:name w:val="List Bullet"/>
    <w:basedOn w:val="1"/>
    <w:unhideWhenUsed/>
    <w:qFormat/>
    <w:uiPriority w:val="0"/>
    <w:pPr>
      <w:numPr>
        <w:ilvl w:val="0"/>
        <w:numId w:val="1"/>
      </w:numPr>
      <w:tabs>
        <w:tab w:val="left" w:pos="360"/>
      </w:tabs>
      <w:ind w:left="360"/>
    </w:pPr>
  </w:style>
  <w:style w:type="paragraph" w:styleId="17">
    <w:name w:val="Document Map"/>
    <w:basedOn w:val="1"/>
    <w:link w:val="72"/>
    <w:qFormat/>
    <w:uiPriority w:val="0"/>
    <w:pPr>
      <w:shd w:val="clear" w:color="auto" w:fill="000080"/>
    </w:pPr>
    <w:rPr>
      <w:rFonts w:ascii="Calibri" w:hAnsi="Calibri" w:eastAsiaTheme="minorEastAsia"/>
    </w:rPr>
  </w:style>
  <w:style w:type="paragraph" w:styleId="18">
    <w:name w:val="annotation text"/>
    <w:basedOn w:val="1"/>
    <w:link w:val="116"/>
    <w:unhideWhenUsed/>
    <w:qFormat/>
    <w:uiPriority w:val="0"/>
    <w:pPr>
      <w:jc w:val="left"/>
    </w:pPr>
  </w:style>
  <w:style w:type="paragraph" w:styleId="19">
    <w:name w:val="Body Text 3"/>
    <w:basedOn w:val="1"/>
    <w:link w:val="96"/>
    <w:qFormat/>
    <w:uiPriority w:val="0"/>
    <w:pPr>
      <w:spacing w:after="120"/>
    </w:pPr>
    <w:rPr>
      <w:rFonts w:asciiTheme="minorHAnsi" w:hAnsiTheme="minorHAnsi" w:eastAsiaTheme="minorEastAsia" w:cstheme="minorBidi"/>
      <w:sz w:val="16"/>
      <w:szCs w:val="16"/>
    </w:rPr>
  </w:style>
  <w:style w:type="paragraph" w:styleId="20">
    <w:name w:val="List Bullet 3"/>
    <w:basedOn w:val="1"/>
    <w:unhideWhenUsed/>
    <w:qFormat/>
    <w:uiPriority w:val="0"/>
    <w:pPr>
      <w:tabs>
        <w:tab w:val="left" w:pos="1200"/>
      </w:tabs>
      <w:ind w:left="1200" w:hanging="360"/>
    </w:pPr>
  </w:style>
  <w:style w:type="paragraph" w:styleId="21">
    <w:name w:val="Body Text"/>
    <w:basedOn w:val="1"/>
    <w:link w:val="91"/>
    <w:qFormat/>
    <w:uiPriority w:val="0"/>
    <w:rPr>
      <w:rFonts w:asciiTheme="minorHAnsi" w:hAnsiTheme="minorHAnsi" w:eastAsiaTheme="minorEastAsia" w:cstheme="minorBidi"/>
    </w:rPr>
  </w:style>
  <w:style w:type="paragraph" w:styleId="22">
    <w:name w:val="Body Text Indent"/>
    <w:basedOn w:val="1"/>
    <w:link w:val="82"/>
    <w:qFormat/>
    <w:uiPriority w:val="0"/>
    <w:pPr>
      <w:ind w:firstLine="407" w:firstLineChars="200"/>
    </w:pPr>
    <w:rPr>
      <w:rFonts w:ascii="黑体" w:eastAsia="黑体" w:hAnsiTheme="minorHAnsi" w:cstheme="minorBidi"/>
      <w:sz w:val="44"/>
      <w:szCs w:val="44"/>
    </w:rPr>
  </w:style>
  <w:style w:type="paragraph" w:styleId="23">
    <w:name w:val="List Bullet 2"/>
    <w:basedOn w:val="1"/>
    <w:unhideWhenUsed/>
    <w:qFormat/>
    <w:uiPriority w:val="0"/>
    <w:pPr>
      <w:tabs>
        <w:tab w:val="left" w:pos="780"/>
      </w:tabs>
      <w:ind w:left="780" w:hanging="360"/>
    </w:pPr>
  </w:style>
  <w:style w:type="paragraph" w:styleId="24">
    <w:name w:val="index 4"/>
    <w:basedOn w:val="1"/>
    <w:next w:val="1"/>
    <w:qFormat/>
    <w:uiPriority w:val="0"/>
    <w:pPr>
      <w:ind w:left="600" w:leftChars="600"/>
    </w:pPr>
  </w:style>
  <w:style w:type="paragraph" w:styleId="25">
    <w:name w:val="toc 5"/>
    <w:basedOn w:val="1"/>
    <w:next w:val="1"/>
    <w:unhideWhenUsed/>
    <w:qFormat/>
    <w:uiPriority w:val="39"/>
    <w:pPr>
      <w:tabs>
        <w:tab w:val="left" w:pos="420"/>
      </w:tabs>
      <w:ind w:left="800" w:leftChars="800"/>
    </w:pPr>
  </w:style>
  <w:style w:type="paragraph" w:styleId="26">
    <w:name w:val="toc 3"/>
    <w:basedOn w:val="1"/>
    <w:next w:val="1"/>
    <w:qFormat/>
    <w:uiPriority w:val="39"/>
    <w:pPr>
      <w:tabs>
        <w:tab w:val="right" w:leader="dot" w:pos="8613"/>
      </w:tabs>
      <w:ind w:left="420"/>
      <w:jc w:val="left"/>
    </w:pPr>
    <w:rPr>
      <w:rFonts w:ascii="Calibri" w:hAnsi="Calibri" w:eastAsia="仿宋_GB2312"/>
      <w:iCs/>
      <w:szCs w:val="20"/>
    </w:rPr>
  </w:style>
  <w:style w:type="paragraph" w:styleId="27">
    <w:name w:val="Plain Text"/>
    <w:basedOn w:val="1"/>
    <w:link w:val="88"/>
    <w:qFormat/>
    <w:uiPriority w:val="99"/>
    <w:rPr>
      <w:rFonts w:ascii="宋体" w:hAnsi="Courier New" w:cstheme="minorBidi"/>
      <w:sz w:val="28"/>
      <w:szCs w:val="28"/>
    </w:rPr>
  </w:style>
  <w:style w:type="paragraph" w:styleId="28">
    <w:name w:val="List Bullet 5"/>
    <w:basedOn w:val="1"/>
    <w:unhideWhenUsed/>
    <w:qFormat/>
    <w:uiPriority w:val="0"/>
    <w:pPr>
      <w:numPr>
        <w:ilvl w:val="0"/>
        <w:numId w:val="2"/>
      </w:numPr>
      <w:tabs>
        <w:tab w:val="left" w:pos="2040"/>
      </w:tabs>
      <w:ind w:left="2040"/>
    </w:pPr>
  </w:style>
  <w:style w:type="paragraph" w:styleId="29">
    <w:name w:val="toc 8"/>
    <w:basedOn w:val="1"/>
    <w:next w:val="1"/>
    <w:unhideWhenUsed/>
    <w:qFormat/>
    <w:uiPriority w:val="39"/>
    <w:pPr>
      <w:tabs>
        <w:tab w:val="left" w:pos="420"/>
      </w:tabs>
      <w:ind w:left="1470"/>
      <w:jc w:val="left"/>
    </w:pPr>
    <w:rPr>
      <w:sz w:val="18"/>
      <w:szCs w:val="18"/>
    </w:rPr>
  </w:style>
  <w:style w:type="paragraph" w:styleId="30">
    <w:name w:val="Date"/>
    <w:basedOn w:val="1"/>
    <w:next w:val="1"/>
    <w:link w:val="108"/>
    <w:qFormat/>
    <w:uiPriority w:val="99"/>
    <w:pPr>
      <w:ind w:left="100" w:leftChars="2500"/>
    </w:pPr>
    <w:rPr>
      <w:rFonts w:ascii="Calibri" w:hAnsi="Calibri" w:eastAsiaTheme="minorEastAsia"/>
    </w:rPr>
  </w:style>
  <w:style w:type="paragraph" w:styleId="31">
    <w:name w:val="Body Text Indent 2"/>
    <w:basedOn w:val="1"/>
    <w:link w:val="104"/>
    <w:qFormat/>
    <w:uiPriority w:val="0"/>
    <w:pPr>
      <w:widowControl/>
      <w:spacing w:line="480" w:lineRule="auto"/>
      <w:ind w:firstLine="560"/>
      <w:jc w:val="left"/>
    </w:pPr>
    <w:rPr>
      <w:rFonts w:ascii="Calibri" w:hAnsi="Calibri" w:eastAsiaTheme="minorEastAsia"/>
      <w:sz w:val="28"/>
    </w:rPr>
  </w:style>
  <w:style w:type="paragraph" w:styleId="32">
    <w:name w:val="endnote text"/>
    <w:basedOn w:val="1"/>
    <w:link w:val="79"/>
    <w:qFormat/>
    <w:uiPriority w:val="0"/>
    <w:pPr>
      <w:widowControl/>
      <w:snapToGrid w:val="0"/>
      <w:jc w:val="left"/>
    </w:pPr>
    <w:rPr>
      <w:rFonts w:ascii="宋体" w:hAnsi="宋体" w:cstheme="minorBidi"/>
      <w:sz w:val="18"/>
      <w:szCs w:val="18"/>
    </w:rPr>
  </w:style>
  <w:style w:type="paragraph" w:styleId="33">
    <w:name w:val="Balloon Text"/>
    <w:basedOn w:val="1"/>
    <w:link w:val="78"/>
    <w:qFormat/>
    <w:uiPriority w:val="0"/>
    <w:rPr>
      <w:rFonts w:ascii="宋体" w:hAnsi="宋体" w:cstheme="minorBidi"/>
      <w:sz w:val="18"/>
      <w:szCs w:val="18"/>
    </w:rPr>
  </w:style>
  <w:style w:type="paragraph" w:styleId="34">
    <w:name w:val="footer"/>
    <w:basedOn w:val="1"/>
    <w:link w:val="9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5">
    <w:name w:val="header"/>
    <w:basedOn w:val="1"/>
    <w:link w:val="103"/>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6">
    <w:name w:val="toc 1"/>
    <w:basedOn w:val="1"/>
    <w:next w:val="1"/>
    <w:qFormat/>
    <w:uiPriority w:val="39"/>
    <w:pPr>
      <w:spacing w:before="120" w:after="120"/>
      <w:jc w:val="left"/>
    </w:pPr>
    <w:rPr>
      <w:rFonts w:ascii="Calibri" w:hAnsi="Calibri" w:eastAsia="仿宋_GB2312"/>
      <w:b/>
      <w:bCs/>
      <w:caps/>
      <w:sz w:val="28"/>
      <w:szCs w:val="20"/>
    </w:rPr>
  </w:style>
  <w:style w:type="paragraph" w:styleId="37">
    <w:name w:val="toc 4"/>
    <w:basedOn w:val="1"/>
    <w:next w:val="1"/>
    <w:unhideWhenUsed/>
    <w:qFormat/>
    <w:uiPriority w:val="39"/>
    <w:pPr>
      <w:tabs>
        <w:tab w:val="left" w:pos="420"/>
      </w:tabs>
      <w:ind w:left="600" w:leftChars="600"/>
    </w:pPr>
  </w:style>
  <w:style w:type="paragraph" w:styleId="38">
    <w:name w:val="Subtitle"/>
    <w:basedOn w:val="1"/>
    <w:link w:val="90"/>
    <w:qFormat/>
    <w:uiPriority w:val="0"/>
    <w:pPr>
      <w:widowControl/>
      <w:jc w:val="center"/>
    </w:pPr>
    <w:rPr>
      <w:rFonts w:asciiTheme="minorHAnsi" w:hAnsiTheme="minorHAnsi" w:eastAsiaTheme="minorEastAsia" w:cstheme="minorBidi"/>
      <w:u w:val="single"/>
      <w:lang w:eastAsia="en-US"/>
    </w:rPr>
  </w:style>
  <w:style w:type="paragraph" w:styleId="39">
    <w:name w:val="footnote text"/>
    <w:basedOn w:val="1"/>
    <w:link w:val="89"/>
    <w:qFormat/>
    <w:uiPriority w:val="0"/>
    <w:pPr>
      <w:snapToGrid w:val="0"/>
      <w:jc w:val="left"/>
    </w:pPr>
    <w:rPr>
      <w:rFonts w:ascii="宋体" w:hAnsi="宋体" w:cstheme="minorBidi"/>
      <w:sz w:val="18"/>
      <w:szCs w:val="18"/>
    </w:rPr>
  </w:style>
  <w:style w:type="paragraph" w:styleId="40">
    <w:name w:val="toc 6"/>
    <w:basedOn w:val="1"/>
    <w:next w:val="1"/>
    <w:unhideWhenUsed/>
    <w:qFormat/>
    <w:uiPriority w:val="39"/>
    <w:pPr>
      <w:tabs>
        <w:tab w:val="left" w:pos="420"/>
      </w:tabs>
      <w:ind w:left="1000" w:leftChars="1000"/>
    </w:pPr>
  </w:style>
  <w:style w:type="paragraph" w:styleId="41">
    <w:name w:val="Body Text Indent 3"/>
    <w:basedOn w:val="1"/>
    <w:link w:val="105"/>
    <w:qFormat/>
    <w:uiPriority w:val="0"/>
    <w:pPr>
      <w:spacing w:line="360" w:lineRule="auto"/>
      <w:ind w:firstLine="280" w:firstLineChars="100"/>
    </w:pPr>
    <w:rPr>
      <w:rFonts w:ascii="宋体" w:hAnsi="宋体" w:eastAsiaTheme="minorEastAsia"/>
      <w:sz w:val="28"/>
      <w:szCs w:val="28"/>
    </w:rPr>
  </w:style>
  <w:style w:type="paragraph" w:styleId="42">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43">
    <w:name w:val="toc 9"/>
    <w:basedOn w:val="1"/>
    <w:next w:val="1"/>
    <w:unhideWhenUsed/>
    <w:qFormat/>
    <w:uiPriority w:val="39"/>
    <w:pPr>
      <w:tabs>
        <w:tab w:val="left" w:pos="420"/>
      </w:tabs>
      <w:ind w:left="1680"/>
      <w:jc w:val="left"/>
    </w:pPr>
    <w:rPr>
      <w:sz w:val="18"/>
      <w:szCs w:val="18"/>
    </w:rPr>
  </w:style>
  <w:style w:type="paragraph" w:styleId="44">
    <w:name w:val="Body Text 2"/>
    <w:basedOn w:val="1"/>
    <w:link w:val="76"/>
    <w:qFormat/>
    <w:uiPriority w:val="0"/>
    <w:rPr>
      <w:rFonts w:ascii="宋体" w:hAnsi="宋体" w:cstheme="minorBidi"/>
      <w:i/>
      <w:iCs/>
      <w:sz w:val="26"/>
    </w:rPr>
  </w:style>
  <w:style w:type="paragraph" w:styleId="45">
    <w:name w:val="List Continue 2"/>
    <w:basedOn w:val="1"/>
    <w:qFormat/>
    <w:uiPriority w:val="0"/>
    <w:pPr>
      <w:spacing w:after="120"/>
      <w:ind w:left="400" w:leftChars="400"/>
    </w:pPr>
    <w:rPr>
      <w:rFonts w:ascii="Calibri" w:hAnsi="Calibri"/>
      <w:szCs w:val="21"/>
    </w:rPr>
  </w:style>
  <w:style w:type="paragraph" w:styleId="46">
    <w:name w:val="HTML Preformatted"/>
    <w:basedOn w:val="1"/>
    <w:link w:val="7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rPr>
  </w:style>
  <w:style w:type="paragraph" w:styleId="47">
    <w:name w:val="Normal (Web)"/>
    <w:basedOn w:val="1"/>
    <w:unhideWhenUsed/>
    <w:qFormat/>
    <w:uiPriority w:val="0"/>
    <w:pPr>
      <w:widowControl/>
      <w:numPr>
        <w:ilvl w:val="0"/>
        <w:numId w:val="3"/>
      </w:numPr>
      <w:spacing w:before="100" w:beforeAutospacing="1" w:after="100" w:afterAutospacing="1"/>
      <w:ind w:left="0" w:firstLine="0"/>
      <w:jc w:val="left"/>
    </w:pPr>
    <w:rPr>
      <w:kern w:val="0"/>
      <w:sz w:val="24"/>
    </w:rPr>
  </w:style>
  <w:style w:type="paragraph" w:styleId="48">
    <w:name w:val="index 1"/>
    <w:basedOn w:val="1"/>
    <w:next w:val="1"/>
    <w:qFormat/>
    <w:uiPriority w:val="0"/>
    <w:pPr>
      <w:spacing w:line="220" w:lineRule="exact"/>
      <w:jc w:val="center"/>
    </w:pPr>
    <w:rPr>
      <w:rFonts w:ascii="仿宋_GB2312" w:hAnsi="Calibri" w:eastAsia="仿宋_GB2312"/>
      <w:szCs w:val="21"/>
    </w:rPr>
  </w:style>
  <w:style w:type="paragraph" w:styleId="49">
    <w:name w:val="Title"/>
    <w:basedOn w:val="1"/>
    <w:link w:val="87"/>
    <w:qFormat/>
    <w:uiPriority w:val="0"/>
    <w:pPr>
      <w:widowControl/>
      <w:jc w:val="center"/>
    </w:pPr>
    <w:rPr>
      <w:rFonts w:asciiTheme="minorHAnsi" w:hAnsiTheme="minorHAnsi" w:eastAsiaTheme="minorEastAsia" w:cstheme="minorBidi"/>
      <w:u w:val="single"/>
      <w:lang w:eastAsia="en-US"/>
    </w:rPr>
  </w:style>
  <w:style w:type="paragraph" w:styleId="50">
    <w:name w:val="annotation subject"/>
    <w:basedOn w:val="18"/>
    <w:next w:val="18"/>
    <w:link w:val="102"/>
    <w:qFormat/>
    <w:uiPriority w:val="0"/>
    <w:rPr>
      <w:rFonts w:ascii="宋体" w:hAnsi="宋体" w:cstheme="minorBidi"/>
      <w:b/>
      <w:bCs/>
    </w:rPr>
  </w:style>
  <w:style w:type="paragraph" w:styleId="51">
    <w:name w:val="Body Text First Indent 2"/>
    <w:basedOn w:val="22"/>
    <w:link w:val="142"/>
    <w:unhideWhenUsed/>
    <w:qFormat/>
    <w:uiPriority w:val="0"/>
    <w:pPr>
      <w:tabs>
        <w:tab w:val="left" w:pos="420"/>
      </w:tabs>
      <w:spacing w:after="120"/>
      <w:ind w:left="200" w:leftChars="200" w:firstLine="200"/>
    </w:pPr>
    <w:rPr>
      <w:rFonts w:ascii="Times New Roman" w:hAnsi="Times New Roman" w:eastAsia="宋体" w:cs="Times New Roman"/>
      <w:sz w:val="21"/>
      <w:szCs w:val="24"/>
    </w:rPr>
  </w:style>
  <w:style w:type="table" w:styleId="53">
    <w:name w:val="Table Grid"/>
    <w:basedOn w:val="5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0"/>
    <w:rPr>
      <w:b/>
    </w:rPr>
  </w:style>
  <w:style w:type="character" w:styleId="56">
    <w:name w:val="endnote reference"/>
    <w:basedOn w:val="54"/>
    <w:unhideWhenUsed/>
    <w:qFormat/>
    <w:uiPriority w:val="0"/>
    <w:rPr>
      <w:vertAlign w:val="superscript"/>
    </w:rPr>
  </w:style>
  <w:style w:type="character" w:styleId="57">
    <w:name w:val="page number"/>
    <w:unhideWhenUsed/>
    <w:qFormat/>
    <w:uiPriority w:val="0"/>
    <w:rPr>
      <w:rFonts w:hint="default" w:ascii="Times New Roman" w:hAnsi="Times New Roman" w:cs="Times New Roman"/>
    </w:rPr>
  </w:style>
  <w:style w:type="character" w:styleId="58">
    <w:name w:val="FollowedHyperlink"/>
    <w:basedOn w:val="54"/>
    <w:unhideWhenUsed/>
    <w:qFormat/>
    <w:uiPriority w:val="0"/>
    <w:rPr>
      <w:color w:val="954F72" w:themeColor="followedHyperlink"/>
      <w:u w:val="single"/>
      <w14:textFill>
        <w14:solidFill>
          <w14:schemeClr w14:val="folHlink"/>
        </w14:solidFill>
      </w14:textFill>
    </w:rPr>
  </w:style>
  <w:style w:type="character" w:styleId="59">
    <w:name w:val="Emphasis"/>
    <w:qFormat/>
    <w:uiPriority w:val="0"/>
    <w:rPr>
      <w:rFonts w:hint="default" w:ascii="Times New Roman" w:hAnsi="Times New Roman" w:eastAsia="宋体" w:cs="Times New Roman"/>
      <w:color w:val="auto"/>
    </w:rPr>
  </w:style>
  <w:style w:type="character" w:styleId="60">
    <w:name w:val="Hyperlink"/>
    <w:qFormat/>
    <w:uiPriority w:val="99"/>
    <w:rPr>
      <w:color w:val="0000FF"/>
      <w:u w:val="single"/>
    </w:rPr>
  </w:style>
  <w:style w:type="character" w:styleId="61">
    <w:name w:val="annotation reference"/>
    <w:qFormat/>
    <w:uiPriority w:val="0"/>
    <w:rPr>
      <w:sz w:val="21"/>
      <w:szCs w:val="21"/>
    </w:rPr>
  </w:style>
  <w:style w:type="character" w:styleId="62">
    <w:name w:val="footnote reference"/>
    <w:qFormat/>
    <w:uiPriority w:val="0"/>
    <w:rPr>
      <w:vertAlign w:val="superscript"/>
    </w:rPr>
  </w:style>
  <w:style w:type="character" w:customStyle="1" w:styleId="63">
    <w:name w:val="标题 1 字符"/>
    <w:basedOn w:val="54"/>
    <w:link w:val="3"/>
    <w:qFormat/>
    <w:uiPriority w:val="0"/>
    <w:rPr>
      <w:rFonts w:ascii="Times New Roman" w:hAnsi="Times New Roman" w:eastAsia="宋体" w:cs="Times New Roman"/>
      <w:b/>
      <w:bCs/>
      <w:kern w:val="44"/>
      <w:sz w:val="44"/>
      <w:szCs w:val="44"/>
    </w:rPr>
  </w:style>
  <w:style w:type="character" w:customStyle="1" w:styleId="64">
    <w:name w:val="标题 2 字符"/>
    <w:basedOn w:val="54"/>
    <w:link w:val="4"/>
    <w:qFormat/>
    <w:uiPriority w:val="0"/>
    <w:rPr>
      <w:rFonts w:ascii="仿宋_GB2312" w:hAnsi="宋体" w:eastAsia="仿宋_GB2312" w:cs="MingLiU"/>
      <w:b/>
      <w:spacing w:val="1"/>
      <w:w w:val="99"/>
      <w:sz w:val="28"/>
      <w:szCs w:val="32"/>
    </w:rPr>
  </w:style>
  <w:style w:type="character" w:customStyle="1" w:styleId="65">
    <w:name w:val="标题 3 字符1"/>
    <w:basedOn w:val="54"/>
    <w:link w:val="5"/>
    <w:qFormat/>
    <w:uiPriority w:val="0"/>
    <w:rPr>
      <w:rFonts w:ascii="仿宋_GB2312" w:hAnsi="宋体" w:eastAsia="仿宋_GB2312" w:cs="MingLiU"/>
      <w:b/>
      <w:sz w:val="24"/>
      <w:szCs w:val="28"/>
    </w:rPr>
  </w:style>
  <w:style w:type="character" w:customStyle="1" w:styleId="66">
    <w:name w:val="标题 4 字符"/>
    <w:basedOn w:val="54"/>
    <w:link w:val="6"/>
    <w:qFormat/>
    <w:uiPriority w:val="0"/>
    <w:rPr>
      <w:rFonts w:ascii="仿宋_GB2312" w:hAnsi="宋体" w:eastAsia="仿宋_GB2312" w:cs="MingLiU"/>
      <w:b/>
      <w:sz w:val="24"/>
      <w:szCs w:val="28"/>
    </w:rPr>
  </w:style>
  <w:style w:type="character" w:customStyle="1" w:styleId="67">
    <w:name w:val="标题 5 字符"/>
    <w:basedOn w:val="54"/>
    <w:link w:val="7"/>
    <w:qFormat/>
    <w:uiPriority w:val="0"/>
    <w:rPr>
      <w:rFonts w:ascii="Times New Roman" w:hAnsi="Times New Roman" w:eastAsia="宋体" w:cs="Times New Roman"/>
      <w:i/>
      <w:sz w:val="22"/>
      <w:szCs w:val="24"/>
    </w:rPr>
  </w:style>
  <w:style w:type="character" w:customStyle="1" w:styleId="68">
    <w:name w:val="标题 6 字符"/>
    <w:basedOn w:val="54"/>
    <w:link w:val="8"/>
    <w:qFormat/>
    <w:uiPriority w:val="0"/>
    <w:rPr>
      <w:rFonts w:ascii="Times New Roman" w:hAnsi="Times New Roman" w:eastAsia="宋体" w:cs="Times New Roman"/>
      <w:i/>
      <w:sz w:val="22"/>
      <w:szCs w:val="24"/>
    </w:rPr>
  </w:style>
  <w:style w:type="character" w:customStyle="1" w:styleId="69">
    <w:name w:val="标题 7 字符"/>
    <w:basedOn w:val="54"/>
    <w:link w:val="9"/>
    <w:qFormat/>
    <w:uiPriority w:val="0"/>
    <w:rPr>
      <w:rFonts w:ascii="Times New Roman" w:hAnsi="Times New Roman" w:eastAsia="宋体" w:cs="Times New Roman"/>
      <w:b/>
      <w:bCs/>
      <w:sz w:val="24"/>
      <w:szCs w:val="24"/>
    </w:rPr>
  </w:style>
  <w:style w:type="character" w:customStyle="1" w:styleId="70">
    <w:name w:val="标题 8 字符"/>
    <w:basedOn w:val="54"/>
    <w:link w:val="10"/>
    <w:qFormat/>
    <w:uiPriority w:val="0"/>
    <w:rPr>
      <w:rFonts w:ascii="Times New Roman" w:hAnsi="Times New Roman" w:eastAsia="宋体" w:cs="Times New Roman"/>
      <w:i/>
      <w:szCs w:val="24"/>
    </w:rPr>
  </w:style>
  <w:style w:type="character" w:customStyle="1" w:styleId="71">
    <w:name w:val="标题 9 字符"/>
    <w:basedOn w:val="54"/>
    <w:link w:val="11"/>
    <w:qFormat/>
    <w:uiPriority w:val="0"/>
    <w:rPr>
      <w:rFonts w:ascii="Times New Roman" w:hAnsi="Times New Roman" w:eastAsia="仿宋_GB2312" w:cs="Times New Roman"/>
      <w:kern w:val="0"/>
      <w:sz w:val="30"/>
      <w:szCs w:val="20"/>
    </w:rPr>
  </w:style>
  <w:style w:type="character" w:customStyle="1" w:styleId="72">
    <w:name w:val="文档结构图 字符"/>
    <w:link w:val="17"/>
    <w:qFormat/>
    <w:uiPriority w:val="0"/>
    <w:rPr>
      <w:rFonts w:ascii="Calibri" w:hAnsi="Calibri" w:cs="Times New Roman"/>
      <w:szCs w:val="24"/>
      <w:shd w:val="clear" w:color="auto" w:fill="000080"/>
    </w:rPr>
  </w:style>
  <w:style w:type="character" w:customStyle="1" w:styleId="73">
    <w:name w:val="引用 Char1"/>
    <w:link w:val="74"/>
    <w:qFormat/>
    <w:uiPriority w:val="0"/>
    <w:rPr>
      <w:rFonts w:ascii="Calibri" w:hAnsi="Calibri" w:eastAsia="宋体" w:cs="Times New Roman"/>
      <w:i/>
      <w:iCs/>
      <w:color w:val="000000"/>
    </w:rPr>
  </w:style>
  <w:style w:type="paragraph" w:customStyle="1" w:styleId="74">
    <w:name w:val="引用1"/>
    <w:basedOn w:val="1"/>
    <w:next w:val="1"/>
    <w:link w:val="73"/>
    <w:qFormat/>
    <w:uiPriority w:val="0"/>
    <w:rPr>
      <w:rFonts w:ascii="Calibri" w:hAnsi="Calibri"/>
      <w:i/>
      <w:iCs/>
      <w:color w:val="000000"/>
      <w:szCs w:val="22"/>
    </w:rPr>
  </w:style>
  <w:style w:type="character" w:customStyle="1" w:styleId="75">
    <w:name w:val="HTML 预设格式 字符"/>
    <w:link w:val="46"/>
    <w:qFormat/>
    <w:uiPriority w:val="0"/>
    <w:rPr>
      <w:rFonts w:ascii="宋体" w:hAnsi="宋体" w:cs="宋体"/>
      <w:color w:val="000000"/>
      <w:sz w:val="24"/>
      <w:szCs w:val="24"/>
    </w:rPr>
  </w:style>
  <w:style w:type="character" w:customStyle="1" w:styleId="76">
    <w:name w:val="正文文本 2 字符"/>
    <w:link w:val="44"/>
    <w:qFormat/>
    <w:locked/>
    <w:uiPriority w:val="0"/>
    <w:rPr>
      <w:rFonts w:ascii="宋体" w:hAnsi="宋体" w:eastAsia="宋体"/>
      <w:i/>
      <w:iCs/>
      <w:sz w:val="26"/>
      <w:szCs w:val="24"/>
    </w:rPr>
  </w:style>
  <w:style w:type="character" w:customStyle="1" w:styleId="77">
    <w:name w:val="HTML 预设格式 Char"/>
    <w:qFormat/>
    <w:uiPriority w:val="0"/>
    <w:rPr>
      <w:rFonts w:ascii="Courier New" w:hAnsi="Courier New" w:cs="Courier New"/>
      <w:kern w:val="2"/>
    </w:rPr>
  </w:style>
  <w:style w:type="character" w:customStyle="1" w:styleId="78">
    <w:name w:val="批注框文本 字符"/>
    <w:link w:val="33"/>
    <w:qFormat/>
    <w:locked/>
    <w:uiPriority w:val="0"/>
    <w:rPr>
      <w:rFonts w:ascii="宋体" w:hAnsi="宋体" w:eastAsia="宋体"/>
      <w:sz w:val="18"/>
      <w:szCs w:val="18"/>
    </w:rPr>
  </w:style>
  <w:style w:type="character" w:customStyle="1" w:styleId="79">
    <w:name w:val="尾注文本 字符"/>
    <w:link w:val="32"/>
    <w:qFormat/>
    <w:locked/>
    <w:uiPriority w:val="0"/>
    <w:rPr>
      <w:rFonts w:ascii="宋体" w:hAnsi="宋体" w:eastAsia="宋体"/>
      <w:sz w:val="18"/>
      <w:szCs w:val="18"/>
    </w:rPr>
  </w:style>
  <w:style w:type="character" w:customStyle="1" w:styleId="80">
    <w:name w:val="日期 Char"/>
    <w:qFormat/>
    <w:uiPriority w:val="99"/>
    <w:rPr>
      <w:kern w:val="2"/>
      <w:sz w:val="21"/>
      <w:szCs w:val="24"/>
    </w:rPr>
  </w:style>
  <w:style w:type="character" w:customStyle="1" w:styleId="81">
    <w:name w:val="批注文字 字符"/>
    <w:qFormat/>
    <w:locked/>
    <w:uiPriority w:val="0"/>
    <w:rPr>
      <w:rFonts w:ascii="宋体" w:hAnsi="宋体" w:eastAsia="宋体"/>
      <w:kern w:val="2"/>
      <w:sz w:val="21"/>
      <w:szCs w:val="24"/>
      <w:lang w:val="en-US" w:eastAsia="zh-CN" w:bidi="ar-SA"/>
    </w:rPr>
  </w:style>
  <w:style w:type="character" w:customStyle="1" w:styleId="82">
    <w:name w:val="正文文本缩进 字符"/>
    <w:link w:val="22"/>
    <w:qFormat/>
    <w:locked/>
    <w:uiPriority w:val="0"/>
    <w:rPr>
      <w:rFonts w:ascii="黑体" w:eastAsia="黑体"/>
      <w:sz w:val="44"/>
      <w:szCs w:val="44"/>
    </w:rPr>
  </w:style>
  <w:style w:type="character" w:customStyle="1" w:styleId="83">
    <w:name w:val="明显引用 Char1"/>
    <w:link w:val="84"/>
    <w:qFormat/>
    <w:uiPriority w:val="0"/>
    <w:rPr>
      <w:rFonts w:ascii="Calibri" w:hAnsi="Calibri" w:eastAsia="宋体" w:cs="Times New Roman"/>
      <w:b/>
      <w:bCs/>
      <w:i/>
      <w:iCs/>
      <w:color w:val="4F81BD"/>
    </w:rPr>
  </w:style>
  <w:style w:type="paragraph" w:customStyle="1" w:styleId="84">
    <w:name w:val="明显引用1"/>
    <w:basedOn w:val="1"/>
    <w:next w:val="1"/>
    <w:link w:val="83"/>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85">
    <w:name w:val="引用 Char"/>
    <w:qFormat/>
    <w:uiPriority w:val="0"/>
    <w:rPr>
      <w:i/>
      <w:iCs/>
      <w:color w:val="000000"/>
    </w:rPr>
  </w:style>
  <w:style w:type="character" w:customStyle="1" w:styleId="86">
    <w:name w:val="明显引用 Char"/>
    <w:qFormat/>
    <w:uiPriority w:val="0"/>
    <w:rPr>
      <w:b/>
      <w:bCs/>
      <w:i/>
      <w:iCs/>
      <w:color w:val="4F81BD"/>
    </w:rPr>
  </w:style>
  <w:style w:type="character" w:customStyle="1" w:styleId="87">
    <w:name w:val="标题 字符"/>
    <w:link w:val="49"/>
    <w:qFormat/>
    <w:locked/>
    <w:uiPriority w:val="0"/>
    <w:rPr>
      <w:szCs w:val="24"/>
      <w:u w:val="single"/>
      <w:lang w:eastAsia="en-US"/>
    </w:rPr>
  </w:style>
  <w:style w:type="character" w:customStyle="1" w:styleId="88">
    <w:name w:val="纯文本 字符"/>
    <w:link w:val="27"/>
    <w:qFormat/>
    <w:locked/>
    <w:uiPriority w:val="0"/>
    <w:rPr>
      <w:rFonts w:ascii="宋体" w:hAnsi="Courier New" w:eastAsia="宋体"/>
      <w:sz w:val="28"/>
      <w:szCs w:val="28"/>
    </w:rPr>
  </w:style>
  <w:style w:type="character" w:customStyle="1" w:styleId="89">
    <w:name w:val="脚注文本 字符2"/>
    <w:link w:val="39"/>
    <w:qFormat/>
    <w:locked/>
    <w:uiPriority w:val="0"/>
    <w:rPr>
      <w:rFonts w:ascii="宋体" w:hAnsi="宋体" w:eastAsia="宋体"/>
      <w:sz w:val="18"/>
      <w:szCs w:val="18"/>
    </w:rPr>
  </w:style>
  <w:style w:type="character" w:customStyle="1" w:styleId="90">
    <w:name w:val="副标题 字符"/>
    <w:link w:val="38"/>
    <w:qFormat/>
    <w:locked/>
    <w:uiPriority w:val="0"/>
    <w:rPr>
      <w:szCs w:val="24"/>
      <w:u w:val="single"/>
      <w:lang w:eastAsia="en-US"/>
    </w:rPr>
  </w:style>
  <w:style w:type="character" w:customStyle="1" w:styleId="91">
    <w:name w:val="正文文本 字符"/>
    <w:link w:val="21"/>
    <w:qFormat/>
    <w:locked/>
    <w:uiPriority w:val="0"/>
    <w:rPr>
      <w:szCs w:val="24"/>
    </w:rPr>
  </w:style>
  <w:style w:type="character" w:customStyle="1" w:styleId="92">
    <w:name w:val="正文文本缩进 2 Char"/>
    <w:qFormat/>
    <w:uiPriority w:val="0"/>
    <w:rPr>
      <w:kern w:val="2"/>
      <w:sz w:val="21"/>
      <w:szCs w:val="24"/>
    </w:rPr>
  </w:style>
  <w:style w:type="character" w:customStyle="1" w:styleId="93">
    <w:name w:val="文档结构图 Char"/>
    <w:qFormat/>
    <w:uiPriority w:val="0"/>
    <w:rPr>
      <w:rFonts w:ascii="宋体"/>
      <w:kern w:val="2"/>
      <w:sz w:val="18"/>
      <w:szCs w:val="18"/>
    </w:rPr>
  </w:style>
  <w:style w:type="character" w:customStyle="1" w:styleId="94">
    <w:name w:val="样式2 Char Char"/>
    <w:link w:val="95"/>
    <w:qFormat/>
    <w:locked/>
    <w:uiPriority w:val="0"/>
    <w:rPr>
      <w:rFonts w:ascii="黑体" w:hAnsi="宋体" w:eastAsia="黑体"/>
      <w:b/>
      <w:sz w:val="28"/>
      <w:szCs w:val="28"/>
    </w:rPr>
  </w:style>
  <w:style w:type="paragraph" w:customStyle="1" w:styleId="95">
    <w:name w:val="样式2"/>
    <w:basedOn w:val="4"/>
    <w:link w:val="94"/>
    <w:qFormat/>
    <w:uiPriority w:val="0"/>
    <w:pPr>
      <w:numPr>
        <w:ilvl w:val="0"/>
        <w:numId w:val="4"/>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96">
    <w:name w:val="正文文本 3 字符"/>
    <w:link w:val="19"/>
    <w:qFormat/>
    <w:locked/>
    <w:uiPriority w:val="0"/>
    <w:rPr>
      <w:sz w:val="16"/>
      <w:szCs w:val="16"/>
    </w:rPr>
  </w:style>
  <w:style w:type="character" w:customStyle="1" w:styleId="97">
    <w:name w:val="标题5 Char Char"/>
    <w:link w:val="98"/>
    <w:qFormat/>
    <w:uiPriority w:val="0"/>
    <w:rPr>
      <w:rFonts w:ascii="Arial" w:hAnsi="Arial"/>
      <w:b/>
      <w:bCs/>
      <w:sz w:val="24"/>
      <w:szCs w:val="32"/>
    </w:rPr>
  </w:style>
  <w:style w:type="paragraph" w:customStyle="1" w:styleId="98">
    <w:name w:val="标题5"/>
    <w:basedOn w:val="5"/>
    <w:link w:val="97"/>
    <w:qFormat/>
    <w:uiPriority w:val="0"/>
    <w:pPr>
      <w:keepNext/>
      <w:keepLines/>
      <w:autoSpaceDE/>
      <w:autoSpaceDN/>
      <w:adjustRightInd/>
      <w:spacing w:before="260" w:after="260" w:line="413" w:lineRule="auto"/>
      <w:jc w:val="both"/>
    </w:pPr>
    <w:rPr>
      <w:rFonts w:ascii="Arial" w:hAnsi="Arial" w:eastAsiaTheme="minorEastAsia" w:cstheme="minorBidi"/>
      <w:bCs/>
      <w:szCs w:val="32"/>
    </w:rPr>
  </w:style>
  <w:style w:type="character" w:customStyle="1" w:styleId="99">
    <w:name w:val="页脚 字符"/>
    <w:link w:val="34"/>
    <w:qFormat/>
    <w:uiPriority w:val="99"/>
    <w:rPr>
      <w:sz w:val="18"/>
      <w:szCs w:val="18"/>
    </w:rPr>
  </w:style>
  <w:style w:type="character" w:customStyle="1" w:styleId="100">
    <w:name w:val="样式1 Char Char"/>
    <w:link w:val="101"/>
    <w:qFormat/>
    <w:locked/>
    <w:uiPriority w:val="0"/>
    <w:rPr>
      <w:rFonts w:ascii="宋体" w:hAnsi="宋体" w:eastAsia="宋体"/>
      <w:szCs w:val="21"/>
    </w:rPr>
  </w:style>
  <w:style w:type="paragraph" w:customStyle="1" w:styleId="101">
    <w:name w:val="样式1"/>
    <w:basedOn w:val="3"/>
    <w:link w:val="100"/>
    <w:qFormat/>
    <w:uiPriority w:val="0"/>
    <w:pPr>
      <w:keepNext w:val="0"/>
      <w:keepLines w:val="0"/>
      <w:numPr>
        <w:ilvl w:val="0"/>
        <w:numId w:val="5"/>
      </w:numPr>
      <w:autoSpaceDE w:val="0"/>
      <w:autoSpaceDN w:val="0"/>
      <w:adjustRightInd w:val="0"/>
      <w:snapToGrid w:val="0"/>
      <w:spacing w:before="0" w:after="0" w:line="360" w:lineRule="auto"/>
      <w:ind w:firstLine="420" w:firstLineChars="200"/>
      <w:jc w:val="center"/>
    </w:pPr>
    <w:rPr>
      <w:rFonts w:ascii="宋体" w:hAnsi="宋体" w:cstheme="minorBidi"/>
      <w:b w:val="0"/>
      <w:bCs w:val="0"/>
      <w:kern w:val="2"/>
      <w:sz w:val="21"/>
      <w:szCs w:val="21"/>
    </w:rPr>
  </w:style>
  <w:style w:type="character" w:customStyle="1" w:styleId="102">
    <w:name w:val="批注主题 字符"/>
    <w:link w:val="50"/>
    <w:qFormat/>
    <w:locked/>
    <w:uiPriority w:val="0"/>
    <w:rPr>
      <w:rFonts w:ascii="宋体" w:hAnsi="宋体" w:eastAsia="宋体"/>
      <w:b/>
      <w:bCs/>
      <w:szCs w:val="24"/>
    </w:rPr>
  </w:style>
  <w:style w:type="character" w:customStyle="1" w:styleId="103">
    <w:name w:val="页眉 字符"/>
    <w:link w:val="35"/>
    <w:qFormat/>
    <w:uiPriority w:val="0"/>
    <w:rPr>
      <w:sz w:val="18"/>
      <w:szCs w:val="18"/>
    </w:rPr>
  </w:style>
  <w:style w:type="character" w:customStyle="1" w:styleId="104">
    <w:name w:val="正文文本缩进 2 字符"/>
    <w:link w:val="31"/>
    <w:qFormat/>
    <w:uiPriority w:val="0"/>
    <w:rPr>
      <w:rFonts w:ascii="Calibri" w:hAnsi="Calibri" w:cs="Times New Roman"/>
      <w:sz w:val="28"/>
      <w:szCs w:val="24"/>
    </w:rPr>
  </w:style>
  <w:style w:type="character" w:customStyle="1" w:styleId="105">
    <w:name w:val="正文文本缩进 3 字符"/>
    <w:link w:val="41"/>
    <w:qFormat/>
    <w:uiPriority w:val="0"/>
    <w:rPr>
      <w:rFonts w:ascii="宋体" w:hAnsi="宋体" w:cs="Times New Roman"/>
      <w:sz w:val="28"/>
      <w:szCs w:val="28"/>
    </w:rPr>
  </w:style>
  <w:style w:type="character" w:customStyle="1" w:styleId="106">
    <w:name w:val="标题4 Char Char"/>
    <w:link w:val="107"/>
    <w:qFormat/>
    <w:uiPriority w:val="0"/>
    <w:rPr>
      <w:rFonts w:ascii="Arial" w:hAnsi="Arial"/>
      <w:b/>
      <w:bCs/>
      <w:sz w:val="24"/>
      <w:szCs w:val="32"/>
    </w:rPr>
  </w:style>
  <w:style w:type="paragraph" w:customStyle="1" w:styleId="107">
    <w:name w:val="标题4"/>
    <w:basedOn w:val="4"/>
    <w:next w:val="24"/>
    <w:link w:val="106"/>
    <w:qFormat/>
    <w:uiPriority w:val="0"/>
    <w:pPr>
      <w:keepNext/>
      <w:keepLines/>
      <w:autoSpaceDE/>
      <w:autoSpaceDN/>
      <w:adjustRightInd/>
      <w:snapToGrid/>
      <w:spacing w:before="260" w:after="260" w:line="413" w:lineRule="auto"/>
      <w:jc w:val="both"/>
    </w:pPr>
    <w:rPr>
      <w:rFonts w:ascii="Arial" w:hAnsi="Arial" w:eastAsiaTheme="minorEastAsia" w:cstheme="minorBidi"/>
      <w:bCs/>
      <w:spacing w:val="0"/>
      <w:w w:val="100"/>
      <w:sz w:val="24"/>
    </w:rPr>
  </w:style>
  <w:style w:type="character" w:customStyle="1" w:styleId="108">
    <w:name w:val="日期 字符"/>
    <w:link w:val="30"/>
    <w:qFormat/>
    <w:uiPriority w:val="0"/>
    <w:rPr>
      <w:rFonts w:ascii="Calibri" w:hAnsi="Calibri" w:cs="Times New Roman"/>
      <w:szCs w:val="24"/>
    </w:rPr>
  </w:style>
  <w:style w:type="character" w:customStyle="1" w:styleId="109">
    <w:name w:val="正文文本缩进 3 Char"/>
    <w:qFormat/>
    <w:uiPriority w:val="0"/>
    <w:rPr>
      <w:kern w:val="2"/>
      <w:sz w:val="16"/>
      <w:szCs w:val="16"/>
    </w:rPr>
  </w:style>
  <w:style w:type="character" w:customStyle="1" w:styleId="110">
    <w:name w:val="页脚 字符1"/>
    <w:basedOn w:val="54"/>
    <w:semiHidden/>
    <w:qFormat/>
    <w:uiPriority w:val="99"/>
    <w:rPr>
      <w:rFonts w:ascii="Times New Roman" w:hAnsi="Times New Roman" w:eastAsia="宋体" w:cs="Times New Roman"/>
      <w:sz w:val="18"/>
      <w:szCs w:val="18"/>
    </w:rPr>
  </w:style>
  <w:style w:type="paragraph" w:customStyle="1" w:styleId="111">
    <w:name w:val="修订1"/>
    <w:semiHidden/>
    <w:uiPriority w:val="99"/>
    <w:rPr>
      <w:rFonts w:ascii="Times New Roman" w:hAnsi="Times New Roman" w:eastAsia="宋体" w:cs="Times New Roman"/>
      <w:kern w:val="2"/>
      <w:sz w:val="21"/>
      <w:szCs w:val="24"/>
      <w:lang w:val="en-US" w:eastAsia="zh-CN" w:bidi="ar-SA"/>
    </w:rPr>
  </w:style>
  <w:style w:type="character" w:customStyle="1" w:styleId="112">
    <w:name w:val="正文文本缩进 2 字符1"/>
    <w:basedOn w:val="54"/>
    <w:semiHidden/>
    <w:qFormat/>
    <w:uiPriority w:val="99"/>
    <w:rPr>
      <w:rFonts w:ascii="Times New Roman" w:hAnsi="Times New Roman" w:eastAsia="宋体" w:cs="Times New Roman"/>
      <w:szCs w:val="24"/>
    </w:rPr>
  </w:style>
  <w:style w:type="character" w:customStyle="1" w:styleId="113">
    <w:name w:val="正文文本缩进 字符1"/>
    <w:basedOn w:val="54"/>
    <w:semiHidden/>
    <w:qFormat/>
    <w:uiPriority w:val="99"/>
    <w:rPr>
      <w:rFonts w:ascii="Times New Roman" w:hAnsi="Times New Roman" w:eastAsia="宋体" w:cs="Times New Roman"/>
      <w:szCs w:val="24"/>
    </w:rPr>
  </w:style>
  <w:style w:type="character" w:customStyle="1" w:styleId="114">
    <w:name w:val="脚注文本 字符1"/>
    <w:basedOn w:val="54"/>
    <w:semiHidden/>
    <w:qFormat/>
    <w:uiPriority w:val="99"/>
    <w:rPr>
      <w:rFonts w:ascii="Times New Roman" w:hAnsi="Times New Roman" w:eastAsia="宋体" w:cs="Times New Roman"/>
      <w:sz w:val="18"/>
      <w:szCs w:val="18"/>
    </w:rPr>
  </w:style>
  <w:style w:type="character" w:customStyle="1" w:styleId="115">
    <w:name w:val="正文文本 3 字符1"/>
    <w:basedOn w:val="54"/>
    <w:semiHidden/>
    <w:qFormat/>
    <w:uiPriority w:val="99"/>
    <w:rPr>
      <w:rFonts w:ascii="Times New Roman" w:hAnsi="Times New Roman" w:eastAsia="宋体" w:cs="Times New Roman"/>
      <w:sz w:val="16"/>
      <w:szCs w:val="16"/>
    </w:rPr>
  </w:style>
  <w:style w:type="character" w:customStyle="1" w:styleId="116">
    <w:name w:val="批注文字 字符1"/>
    <w:basedOn w:val="54"/>
    <w:link w:val="18"/>
    <w:qFormat/>
    <w:uiPriority w:val="0"/>
    <w:rPr>
      <w:rFonts w:ascii="Times New Roman" w:hAnsi="Times New Roman" w:eastAsia="宋体" w:cs="Times New Roman"/>
      <w:szCs w:val="24"/>
    </w:rPr>
  </w:style>
  <w:style w:type="character" w:customStyle="1" w:styleId="117">
    <w:name w:val="批注主题 字符1"/>
    <w:basedOn w:val="116"/>
    <w:semiHidden/>
    <w:uiPriority w:val="99"/>
    <w:rPr>
      <w:rFonts w:ascii="Times New Roman" w:hAnsi="Times New Roman" w:eastAsia="宋体" w:cs="Times New Roman"/>
      <w:b/>
      <w:bCs/>
      <w:szCs w:val="24"/>
    </w:rPr>
  </w:style>
  <w:style w:type="character" w:customStyle="1" w:styleId="118">
    <w:name w:val="日期 字符1"/>
    <w:basedOn w:val="54"/>
    <w:semiHidden/>
    <w:qFormat/>
    <w:uiPriority w:val="99"/>
    <w:rPr>
      <w:rFonts w:ascii="Times New Roman" w:hAnsi="Times New Roman" w:eastAsia="宋体" w:cs="Times New Roman"/>
      <w:szCs w:val="24"/>
    </w:rPr>
  </w:style>
  <w:style w:type="character" w:customStyle="1" w:styleId="119">
    <w:name w:val="批注框文本 字符1"/>
    <w:basedOn w:val="54"/>
    <w:semiHidden/>
    <w:qFormat/>
    <w:uiPriority w:val="99"/>
    <w:rPr>
      <w:rFonts w:ascii="Times New Roman" w:hAnsi="Times New Roman" w:eastAsia="宋体" w:cs="Times New Roman"/>
      <w:sz w:val="18"/>
      <w:szCs w:val="18"/>
    </w:rPr>
  </w:style>
  <w:style w:type="character" w:customStyle="1" w:styleId="120">
    <w:name w:val="正文文本缩进 3 字符1"/>
    <w:basedOn w:val="54"/>
    <w:semiHidden/>
    <w:qFormat/>
    <w:uiPriority w:val="99"/>
    <w:rPr>
      <w:rFonts w:ascii="Times New Roman" w:hAnsi="Times New Roman" w:eastAsia="宋体" w:cs="Times New Roman"/>
      <w:sz w:val="16"/>
      <w:szCs w:val="16"/>
    </w:rPr>
  </w:style>
  <w:style w:type="character" w:customStyle="1" w:styleId="121">
    <w:name w:val="文档结构图 字符1"/>
    <w:basedOn w:val="54"/>
    <w:semiHidden/>
    <w:qFormat/>
    <w:uiPriority w:val="99"/>
    <w:rPr>
      <w:rFonts w:ascii="Microsoft YaHei UI" w:hAnsi="Times New Roman" w:eastAsia="Microsoft YaHei UI" w:cs="Times New Roman"/>
      <w:sz w:val="18"/>
      <w:szCs w:val="18"/>
    </w:rPr>
  </w:style>
  <w:style w:type="character" w:customStyle="1" w:styleId="122">
    <w:name w:val="页眉 字符1"/>
    <w:basedOn w:val="54"/>
    <w:semiHidden/>
    <w:qFormat/>
    <w:uiPriority w:val="99"/>
    <w:rPr>
      <w:rFonts w:ascii="Times New Roman" w:hAnsi="Times New Roman" w:eastAsia="宋体" w:cs="Times New Roman"/>
      <w:sz w:val="18"/>
      <w:szCs w:val="18"/>
    </w:rPr>
  </w:style>
  <w:style w:type="character" w:customStyle="1" w:styleId="123">
    <w:name w:val="正文文本 字符1"/>
    <w:basedOn w:val="54"/>
    <w:semiHidden/>
    <w:qFormat/>
    <w:uiPriority w:val="99"/>
    <w:rPr>
      <w:rFonts w:ascii="Times New Roman" w:hAnsi="Times New Roman" w:eastAsia="宋体" w:cs="Times New Roman"/>
      <w:szCs w:val="24"/>
    </w:rPr>
  </w:style>
  <w:style w:type="character" w:customStyle="1" w:styleId="124">
    <w:name w:val="纯文本 字符1"/>
    <w:basedOn w:val="54"/>
    <w:semiHidden/>
    <w:qFormat/>
    <w:uiPriority w:val="99"/>
    <w:rPr>
      <w:rFonts w:hAnsi="Courier New" w:cs="Courier New" w:asciiTheme="minorEastAsia"/>
      <w:szCs w:val="24"/>
    </w:rPr>
  </w:style>
  <w:style w:type="paragraph" w:customStyle="1" w:styleId="125">
    <w:name w:val="列出段落1"/>
    <w:basedOn w:val="1"/>
    <w:qFormat/>
    <w:uiPriority w:val="0"/>
    <w:pPr>
      <w:ind w:firstLine="420" w:firstLineChars="200"/>
    </w:pPr>
  </w:style>
  <w:style w:type="character" w:customStyle="1" w:styleId="126">
    <w:name w:val="标题 字符1"/>
    <w:basedOn w:val="54"/>
    <w:qFormat/>
    <w:uiPriority w:val="10"/>
    <w:rPr>
      <w:rFonts w:asciiTheme="majorHAnsi" w:hAnsiTheme="majorHAnsi" w:eastAsiaTheme="majorEastAsia" w:cstheme="majorBidi"/>
      <w:b/>
      <w:bCs/>
      <w:sz w:val="32"/>
      <w:szCs w:val="32"/>
    </w:rPr>
  </w:style>
  <w:style w:type="character" w:customStyle="1" w:styleId="127">
    <w:name w:val="HTML 预设格式 字符1"/>
    <w:basedOn w:val="54"/>
    <w:semiHidden/>
    <w:qFormat/>
    <w:uiPriority w:val="99"/>
    <w:rPr>
      <w:rFonts w:ascii="Courier New" w:hAnsi="Courier New" w:eastAsia="宋体" w:cs="Courier New"/>
      <w:sz w:val="20"/>
      <w:szCs w:val="20"/>
    </w:rPr>
  </w:style>
  <w:style w:type="character" w:customStyle="1" w:styleId="128">
    <w:name w:val="正文文本 2 字符1"/>
    <w:basedOn w:val="54"/>
    <w:semiHidden/>
    <w:qFormat/>
    <w:uiPriority w:val="99"/>
    <w:rPr>
      <w:rFonts w:ascii="Times New Roman" w:hAnsi="Times New Roman" w:eastAsia="宋体" w:cs="Times New Roman"/>
      <w:szCs w:val="24"/>
    </w:rPr>
  </w:style>
  <w:style w:type="character" w:customStyle="1" w:styleId="129">
    <w:name w:val="副标题 字符1"/>
    <w:basedOn w:val="54"/>
    <w:qFormat/>
    <w:uiPriority w:val="11"/>
    <w:rPr>
      <w:b/>
      <w:bCs/>
      <w:kern w:val="28"/>
      <w:sz w:val="32"/>
      <w:szCs w:val="32"/>
    </w:rPr>
  </w:style>
  <w:style w:type="character" w:customStyle="1" w:styleId="130">
    <w:name w:val="尾注文本 字符1"/>
    <w:basedOn w:val="54"/>
    <w:semiHidden/>
    <w:qFormat/>
    <w:uiPriority w:val="99"/>
    <w:rPr>
      <w:rFonts w:ascii="Times New Roman" w:hAnsi="Times New Roman" w:eastAsia="宋体" w:cs="Times New Roman"/>
      <w:szCs w:val="24"/>
    </w:rPr>
  </w:style>
  <w:style w:type="paragraph" w:customStyle="1" w:styleId="131">
    <w:name w:val="_Style 32"/>
    <w:basedOn w:val="1"/>
    <w:qFormat/>
    <w:uiPriority w:val="0"/>
    <w:pPr>
      <w:snapToGrid w:val="0"/>
      <w:spacing w:line="360" w:lineRule="auto"/>
      <w:ind w:firstLine="200" w:firstLineChars="200"/>
    </w:pPr>
    <w:rPr>
      <w:rFonts w:eastAsia="仿宋_GB2312"/>
      <w:sz w:val="24"/>
    </w:rPr>
  </w:style>
  <w:style w:type="paragraph" w:customStyle="1" w:styleId="132">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p0"/>
    <w:basedOn w:val="1"/>
    <w:qFormat/>
    <w:uiPriority w:val="0"/>
    <w:pPr>
      <w:widowControl/>
    </w:pPr>
    <w:rPr>
      <w:kern w:val="0"/>
      <w:szCs w:val="21"/>
    </w:rPr>
  </w:style>
  <w:style w:type="paragraph" w:customStyle="1" w:styleId="134">
    <w:name w:val="p17"/>
    <w:basedOn w:val="1"/>
    <w:qFormat/>
    <w:uiPriority w:val="0"/>
    <w:pPr>
      <w:widowControl/>
    </w:pPr>
    <w:rPr>
      <w:rFonts w:ascii="宋体" w:hAnsi="宋体" w:cs="宋体"/>
      <w:kern w:val="0"/>
      <w:sz w:val="28"/>
      <w:szCs w:val="28"/>
    </w:rPr>
  </w:style>
  <w:style w:type="paragraph" w:customStyle="1" w:styleId="135">
    <w:name w:val="xl51"/>
    <w:basedOn w:val="1"/>
    <w:qFormat/>
    <w:uiPriority w:val="0"/>
    <w:pPr>
      <w:widowControl/>
      <w:spacing w:before="100" w:beforeAutospacing="1" w:after="100" w:afterAutospacing="1" w:line="360" w:lineRule="auto"/>
      <w:ind w:firstLine="200" w:firstLineChars="200"/>
      <w:jc w:val="center"/>
    </w:pPr>
    <w:rPr>
      <w:rFonts w:ascii="Arial Unicode MS" w:hAnsi="Arial Unicode MS" w:eastAsia="Arial Unicode MS" w:cs="Arial Unicode MS"/>
      <w:kern w:val="0"/>
      <w:sz w:val="28"/>
      <w:szCs w:val="28"/>
    </w:rPr>
  </w:style>
  <w:style w:type="character" w:customStyle="1" w:styleId="136">
    <w:name w:val="纯文本 Char1"/>
    <w:link w:val="137"/>
    <w:qFormat/>
    <w:uiPriority w:val="99"/>
    <w:rPr>
      <w:rFonts w:ascii="宋体" w:hAnsi="Courier New"/>
      <w:kern w:val="2"/>
      <w:sz w:val="21"/>
      <w:szCs w:val="21"/>
    </w:rPr>
  </w:style>
  <w:style w:type="paragraph" w:customStyle="1" w:styleId="137">
    <w:name w:val="纯文本1"/>
    <w:basedOn w:val="1"/>
    <w:link w:val="136"/>
    <w:qFormat/>
    <w:uiPriority w:val="0"/>
    <w:pPr>
      <w:tabs>
        <w:tab w:val="left" w:pos="420"/>
      </w:tabs>
    </w:pPr>
    <w:rPr>
      <w:rFonts w:ascii="宋体" w:hAnsi="Courier New" w:eastAsiaTheme="minorEastAsia" w:cstheme="minorBidi"/>
      <w:szCs w:val="21"/>
    </w:rPr>
  </w:style>
  <w:style w:type="paragraph" w:customStyle="1" w:styleId="138">
    <w:name w:val="pa-34"/>
    <w:basedOn w:val="1"/>
    <w:qFormat/>
    <w:uiPriority w:val="0"/>
    <w:pPr>
      <w:widowControl/>
      <w:spacing w:line="360" w:lineRule="atLeast"/>
      <w:ind w:firstLine="420"/>
      <w:jc w:val="left"/>
    </w:pPr>
    <w:rPr>
      <w:rFonts w:ascii="宋体" w:hAnsi="宋体" w:cs="宋体"/>
      <w:kern w:val="0"/>
      <w:sz w:val="24"/>
    </w:rPr>
  </w:style>
  <w:style w:type="character" w:customStyle="1" w:styleId="139">
    <w:name w:val="ca-141"/>
    <w:qFormat/>
    <w:uiPriority w:val="0"/>
    <w:rPr>
      <w:rFonts w:hint="eastAsia" w:ascii="仿宋_GB2312" w:eastAsia="仿宋_GB2312"/>
      <w:sz w:val="21"/>
      <w:szCs w:val="21"/>
    </w:rPr>
  </w:style>
  <w:style w:type="paragraph" w:customStyle="1" w:styleId="140">
    <w:name w:val="招标正文"/>
    <w:basedOn w:val="1"/>
    <w:link w:val="307"/>
    <w:qFormat/>
    <w:uiPriority w:val="0"/>
    <w:pPr>
      <w:spacing w:line="360" w:lineRule="auto"/>
      <w:ind w:firstLine="420" w:firstLineChars="200"/>
    </w:pPr>
    <w:rPr>
      <w:rFonts w:ascii="宋体" w:hAnsi="宋体" w:cs="宋体"/>
      <w:kern w:val="0"/>
      <w:sz w:val="20"/>
      <w:szCs w:val="20"/>
    </w:rPr>
  </w:style>
  <w:style w:type="character" w:customStyle="1" w:styleId="141">
    <w:name w:val="15"/>
    <w:qFormat/>
    <w:uiPriority w:val="0"/>
    <w:rPr>
      <w:rFonts w:hint="default" w:ascii="Times New Roman" w:hAnsi="Times New Roman" w:cs="Times New Roman"/>
      <w:color w:val="0000FF"/>
      <w:u w:val="single"/>
    </w:rPr>
  </w:style>
  <w:style w:type="character" w:customStyle="1" w:styleId="142">
    <w:name w:val="正文文本首行缩进 2 字符"/>
    <w:basedOn w:val="82"/>
    <w:link w:val="51"/>
    <w:semiHidden/>
    <w:qFormat/>
    <w:uiPriority w:val="0"/>
    <w:rPr>
      <w:rFonts w:ascii="Times New Roman" w:hAnsi="Times New Roman" w:eastAsia="宋体" w:cs="Times New Roman"/>
      <w:sz w:val="44"/>
      <w:szCs w:val="24"/>
    </w:rPr>
  </w:style>
  <w:style w:type="paragraph" w:customStyle="1" w:styleId="143">
    <w:name w:val="无间隔1"/>
    <w:qFormat/>
    <w:uiPriority w:val="0"/>
    <w:pPr>
      <w:widowControl w:val="0"/>
      <w:tabs>
        <w:tab w:val="left" w:pos="420"/>
      </w:tabs>
      <w:jc w:val="both"/>
    </w:pPr>
    <w:rPr>
      <w:rFonts w:ascii="Calibri" w:hAnsi="Calibri" w:eastAsia="宋体" w:cs="Times New Roman"/>
      <w:kern w:val="2"/>
      <w:sz w:val="21"/>
      <w:szCs w:val="22"/>
      <w:lang w:val="en-US" w:eastAsia="zh-CN" w:bidi="ar-SA"/>
    </w:rPr>
  </w:style>
  <w:style w:type="paragraph" w:customStyle="1" w:styleId="144">
    <w:name w:val="引用2"/>
    <w:basedOn w:val="1"/>
    <w:next w:val="1"/>
    <w:link w:val="298"/>
    <w:qFormat/>
    <w:uiPriority w:val="0"/>
    <w:pPr>
      <w:tabs>
        <w:tab w:val="left" w:pos="420"/>
      </w:tabs>
    </w:pPr>
    <w:rPr>
      <w:rFonts w:ascii="Calibri" w:hAnsi="Calibri"/>
      <w:i/>
      <w:iCs/>
      <w:color w:val="000000"/>
      <w:kern w:val="0"/>
      <w:sz w:val="20"/>
      <w:szCs w:val="20"/>
    </w:rPr>
  </w:style>
  <w:style w:type="character" w:customStyle="1" w:styleId="145">
    <w:name w:val="引用 Char2"/>
    <w:basedOn w:val="54"/>
    <w:link w:val="146"/>
    <w:qFormat/>
    <w:uiPriority w:val="29"/>
    <w:rPr>
      <w:rFonts w:ascii="Times New Roman" w:hAnsi="Times New Roman" w:eastAsia="宋体" w:cs="Times New Roman"/>
      <w:i/>
      <w:iCs/>
      <w:color w:val="000000" w:themeColor="text1"/>
      <w:szCs w:val="24"/>
      <w14:textFill>
        <w14:solidFill>
          <w14:schemeClr w14:val="tx1"/>
        </w14:solidFill>
      </w14:textFill>
    </w:rPr>
  </w:style>
  <w:style w:type="paragraph" w:customStyle="1" w:styleId="146">
    <w:name w:val="文本块1"/>
    <w:basedOn w:val="1"/>
    <w:link w:val="145"/>
    <w:qFormat/>
    <w:uiPriority w:val="0"/>
    <w:pPr>
      <w:tabs>
        <w:tab w:val="left" w:pos="420"/>
      </w:tabs>
      <w:autoSpaceDE w:val="0"/>
      <w:autoSpaceDN w:val="0"/>
      <w:adjustRightInd w:val="0"/>
      <w:spacing w:line="1270" w:lineRule="exact"/>
      <w:ind w:left="2160" w:right="-20" w:hanging="2160" w:hangingChars="300"/>
      <w:jc w:val="left"/>
    </w:pPr>
    <w:rPr>
      <w:i/>
      <w:iCs/>
      <w:color w:val="000000" w:themeColor="text1"/>
      <w14:textFill>
        <w14:solidFill>
          <w14:schemeClr w14:val="tx1"/>
        </w14:solidFill>
      </w14:textFill>
    </w:rPr>
  </w:style>
  <w:style w:type="paragraph" w:customStyle="1" w:styleId="147">
    <w:name w:val="明显引用2"/>
    <w:basedOn w:val="1"/>
    <w:next w:val="1"/>
    <w:link w:val="299"/>
    <w:qFormat/>
    <w:uiPriority w:val="0"/>
    <w:pPr>
      <w:pBdr>
        <w:bottom w:val="single" w:color="4F81BD" w:sz="4" w:space="4"/>
      </w:pBdr>
      <w:tabs>
        <w:tab w:val="left" w:pos="420"/>
      </w:tabs>
      <w:spacing w:before="200" w:after="280"/>
      <w:ind w:left="936" w:right="936"/>
    </w:pPr>
    <w:rPr>
      <w:rFonts w:ascii="Calibri" w:hAnsi="Calibri"/>
      <w:b/>
      <w:bCs/>
      <w:i/>
      <w:iCs/>
      <w:color w:val="4F81BD"/>
      <w:kern w:val="0"/>
      <w:sz w:val="20"/>
      <w:szCs w:val="20"/>
    </w:rPr>
  </w:style>
  <w:style w:type="character" w:customStyle="1" w:styleId="148">
    <w:name w:val="明显引用 Char2"/>
    <w:basedOn w:val="54"/>
    <w:qFormat/>
    <w:uiPriority w:val="30"/>
    <w:rPr>
      <w:rFonts w:ascii="Times New Roman" w:hAnsi="Times New Roman" w:eastAsia="宋体" w:cs="Times New Roman"/>
      <w:b/>
      <w:bCs/>
      <w:i/>
      <w:iCs/>
      <w:color w:val="5B9BD5" w:themeColor="accent1"/>
      <w:szCs w:val="24"/>
      <w14:textFill>
        <w14:solidFill>
          <w14:schemeClr w14:val="accent1"/>
        </w14:solidFill>
      </w14:textFill>
    </w:rPr>
  </w:style>
  <w:style w:type="paragraph" w:customStyle="1" w:styleId="149">
    <w:name w:val="TOC 标题1"/>
    <w:basedOn w:val="3"/>
    <w:next w:val="1"/>
    <w:qFormat/>
    <w:uiPriority w:val="0"/>
    <w:pPr>
      <w:widowControl/>
      <w:tabs>
        <w:tab w:val="left" w:pos="420"/>
      </w:tabs>
      <w:spacing w:before="480" w:after="0" w:line="276" w:lineRule="auto"/>
      <w:jc w:val="left"/>
      <w:outlineLvl w:val="9"/>
    </w:pPr>
    <w:rPr>
      <w:rFonts w:ascii="Cambria" w:hAnsi="Cambria"/>
      <w:color w:val="365F91"/>
      <w:kern w:val="0"/>
      <w:sz w:val="28"/>
      <w:szCs w:val="28"/>
    </w:rPr>
  </w:style>
  <w:style w:type="paragraph" w:customStyle="1" w:styleId="150">
    <w:name w:val="Char"/>
    <w:basedOn w:val="1"/>
    <w:qFormat/>
    <w:uiPriority w:val="0"/>
    <w:pPr>
      <w:tabs>
        <w:tab w:val="left" w:pos="420"/>
      </w:tabs>
      <w:spacing w:beforeLines="50"/>
      <w:ind w:firstLine="200" w:firstLineChars="200"/>
    </w:pPr>
    <w:rPr>
      <w:rFonts w:ascii="宋体" w:cs="Courier New"/>
      <w:spacing w:val="-2"/>
      <w:sz w:val="22"/>
      <w:szCs w:val="32"/>
    </w:rPr>
  </w:style>
  <w:style w:type="paragraph" w:customStyle="1" w:styleId="151">
    <w:name w:val="Char Char Char1 Char"/>
    <w:basedOn w:val="1"/>
    <w:qFormat/>
    <w:uiPriority w:val="0"/>
    <w:pPr>
      <w:tabs>
        <w:tab w:val="left" w:pos="420"/>
      </w:tabs>
    </w:pPr>
    <w:rPr>
      <w:sz w:val="28"/>
      <w:szCs w:val="20"/>
    </w:rPr>
  </w:style>
  <w:style w:type="paragraph" w:customStyle="1" w:styleId="152">
    <w:name w:val="正文小标题"/>
    <w:basedOn w:val="1"/>
    <w:qFormat/>
    <w:uiPriority w:val="0"/>
    <w:pPr>
      <w:numPr>
        <w:ilvl w:val="0"/>
        <w:numId w:val="6"/>
      </w:numPr>
      <w:tabs>
        <w:tab w:val="left" w:pos="1140"/>
      </w:tabs>
      <w:overflowPunct w:val="0"/>
      <w:autoSpaceDE w:val="0"/>
      <w:autoSpaceDN w:val="0"/>
      <w:adjustRightInd w:val="0"/>
      <w:spacing w:line="360" w:lineRule="auto"/>
      <w:ind w:left="1140" w:hanging="720"/>
    </w:pPr>
    <w:rPr>
      <w:rFonts w:ascii="仿宋_GB2312" w:hAnsi="仿宋_GB2312"/>
      <w:kern w:val="0"/>
      <w:sz w:val="24"/>
      <w:szCs w:val="20"/>
    </w:rPr>
  </w:style>
  <w:style w:type="paragraph" w:customStyle="1" w:styleId="153">
    <w:name w:val="Char Char16 Char Char"/>
    <w:basedOn w:val="1"/>
    <w:qFormat/>
    <w:uiPriority w:val="0"/>
    <w:pPr>
      <w:tabs>
        <w:tab w:val="left" w:pos="420"/>
      </w:tabs>
    </w:pPr>
  </w:style>
  <w:style w:type="paragraph" w:customStyle="1" w:styleId="154">
    <w:name w:val="Blockquote"/>
    <w:basedOn w:val="1"/>
    <w:qFormat/>
    <w:uiPriority w:val="0"/>
    <w:pPr>
      <w:tabs>
        <w:tab w:val="left" w:pos="420"/>
      </w:tabs>
      <w:autoSpaceDE w:val="0"/>
      <w:autoSpaceDN w:val="0"/>
      <w:adjustRightInd w:val="0"/>
      <w:spacing w:before="100" w:after="100"/>
      <w:ind w:left="360" w:right="360"/>
      <w:jc w:val="left"/>
    </w:pPr>
    <w:rPr>
      <w:kern w:val="0"/>
      <w:sz w:val="24"/>
      <w:szCs w:val="20"/>
    </w:rPr>
  </w:style>
  <w:style w:type="paragraph" w:customStyle="1" w:styleId="155">
    <w:name w:val="Char Char16 Char Char Char Char"/>
    <w:basedOn w:val="1"/>
    <w:qFormat/>
    <w:uiPriority w:val="0"/>
    <w:pPr>
      <w:tabs>
        <w:tab w:val="left" w:pos="420"/>
      </w:tabs>
    </w:pPr>
  </w:style>
  <w:style w:type="paragraph" w:customStyle="1" w:styleId="156">
    <w:name w:val="Char Char Char Char Char Char Char Char Char"/>
    <w:basedOn w:val="1"/>
    <w:qFormat/>
    <w:uiPriority w:val="0"/>
    <w:pPr>
      <w:tabs>
        <w:tab w:val="left" w:pos="420"/>
      </w:tabs>
    </w:pPr>
  </w:style>
  <w:style w:type="paragraph" w:customStyle="1" w:styleId="157">
    <w:name w:val="默认段落字体 Para Char Char Char Char"/>
    <w:basedOn w:val="1"/>
    <w:qFormat/>
    <w:uiPriority w:val="0"/>
    <w:pPr>
      <w:tabs>
        <w:tab w:val="left" w:pos="420"/>
      </w:tabs>
    </w:pPr>
  </w:style>
  <w:style w:type="paragraph" w:customStyle="1" w:styleId="158">
    <w:name w:val="目录"/>
    <w:basedOn w:val="1"/>
    <w:qFormat/>
    <w:uiPriority w:val="0"/>
    <w:pPr>
      <w:widowControl/>
      <w:tabs>
        <w:tab w:val="left" w:pos="420"/>
      </w:tabs>
      <w:jc w:val="center"/>
    </w:pPr>
    <w:rPr>
      <w:rFonts w:ascii="宋体"/>
      <w:b/>
      <w:kern w:val="0"/>
      <w:sz w:val="36"/>
      <w:szCs w:val="20"/>
    </w:rPr>
  </w:style>
  <w:style w:type="paragraph" w:customStyle="1" w:styleId="159">
    <w:name w:val="样式3"/>
    <w:basedOn w:val="5"/>
    <w:qFormat/>
    <w:uiPriority w:val="0"/>
    <w:pPr>
      <w:keepNext/>
      <w:keepLines/>
      <w:tabs>
        <w:tab w:val="left" w:pos="420"/>
      </w:tabs>
      <w:spacing w:before="0" w:line="360" w:lineRule="auto"/>
      <w:ind w:left="119" w:right="-23"/>
    </w:pPr>
    <w:rPr>
      <w:rFonts w:ascii="宋体" w:cs="Times New Roman"/>
      <w:bCs/>
      <w:kern w:val="0"/>
      <w:szCs w:val="32"/>
    </w:rPr>
  </w:style>
  <w:style w:type="paragraph" w:customStyle="1" w:styleId="160">
    <w:name w:val="样式 标题 1 + (西文) 宋体 非加粗 黑色 两端对齐 左侧:  0 厘米 首行缩进:  0.89 厘米"/>
    <w:basedOn w:val="3"/>
    <w:qFormat/>
    <w:uiPriority w:val="0"/>
    <w:pPr>
      <w:keepLines w:val="0"/>
      <w:tabs>
        <w:tab w:val="left" w:pos="1140"/>
      </w:tabs>
      <w:adjustRightInd w:val="0"/>
      <w:snapToGrid w:val="0"/>
      <w:spacing w:before="0" w:after="0" w:line="360" w:lineRule="auto"/>
      <w:ind w:left="1140" w:hanging="720"/>
      <w:jc w:val="center"/>
    </w:pPr>
    <w:rPr>
      <w:rFonts w:ascii="宋体" w:hAnsi="宋体" w:eastAsia="黑体"/>
      <w:bCs w:val="0"/>
      <w:color w:val="000000"/>
      <w:kern w:val="0"/>
      <w:sz w:val="30"/>
      <w:szCs w:val="30"/>
    </w:rPr>
  </w:style>
  <w:style w:type="paragraph" w:customStyle="1" w:styleId="161">
    <w:name w:val="默认段落字体 Para Char Char Char Char Char Char Char Char Char Char Char Char Char"/>
    <w:basedOn w:val="1"/>
    <w:qFormat/>
    <w:uiPriority w:val="0"/>
    <w:pPr>
      <w:tabs>
        <w:tab w:val="left" w:pos="420"/>
      </w:tabs>
    </w:pPr>
    <w:rPr>
      <w:szCs w:val="20"/>
    </w:rPr>
  </w:style>
  <w:style w:type="paragraph" w:customStyle="1" w:styleId="162">
    <w:name w:val="Char Char16"/>
    <w:basedOn w:val="1"/>
    <w:qFormat/>
    <w:uiPriority w:val="0"/>
    <w:pPr>
      <w:tabs>
        <w:tab w:val="left" w:pos="420"/>
      </w:tabs>
      <w:spacing w:beforeLines="50"/>
      <w:ind w:firstLine="200" w:firstLineChars="200"/>
    </w:pPr>
  </w:style>
  <w:style w:type="paragraph" w:customStyle="1" w:styleId="163">
    <w:name w:val="_Style 60"/>
    <w:basedOn w:val="1"/>
    <w:qFormat/>
    <w:uiPriority w:val="0"/>
    <w:pPr>
      <w:tabs>
        <w:tab w:val="left" w:pos="420"/>
      </w:tabs>
    </w:pPr>
  </w:style>
  <w:style w:type="paragraph" w:customStyle="1" w:styleId="164">
    <w:name w:val="Char Char Char Char"/>
    <w:basedOn w:val="1"/>
    <w:qFormat/>
    <w:uiPriority w:val="0"/>
    <w:pPr>
      <w:tabs>
        <w:tab w:val="left" w:pos="420"/>
      </w:tabs>
    </w:pPr>
    <w:rPr>
      <w:rFonts w:ascii="Tahoma" w:hAnsi="Tahoma"/>
      <w:sz w:val="24"/>
      <w:szCs w:val="20"/>
    </w:rPr>
  </w:style>
  <w:style w:type="paragraph" w:customStyle="1" w:styleId="165">
    <w:name w:val="Char Char Char Char Char Char Char"/>
    <w:basedOn w:val="1"/>
    <w:qFormat/>
    <w:uiPriority w:val="0"/>
    <w:pPr>
      <w:tabs>
        <w:tab w:val="left" w:pos="420"/>
      </w:tabs>
    </w:pPr>
    <w:rPr>
      <w:rFonts w:ascii="仿宋_GB2312" w:eastAsia="仿宋_GB2312"/>
      <w:b/>
      <w:sz w:val="32"/>
      <w:szCs w:val="32"/>
    </w:rPr>
  </w:style>
  <w:style w:type="paragraph" w:customStyle="1" w:styleId="166">
    <w:name w:val="表格文字（大）"/>
    <w:basedOn w:val="1"/>
    <w:qFormat/>
    <w:uiPriority w:val="0"/>
    <w:pPr>
      <w:tabs>
        <w:tab w:val="left" w:pos="420"/>
      </w:tabs>
      <w:spacing w:before="20" w:after="20"/>
    </w:pPr>
    <w:rPr>
      <w:rFonts w:ascii="Century Gothic" w:hAnsi="Century Gothic"/>
      <w:sz w:val="24"/>
      <w:szCs w:val="20"/>
    </w:rPr>
  </w:style>
  <w:style w:type="paragraph" w:customStyle="1" w:styleId="167">
    <w:name w:val="数字编号"/>
    <w:basedOn w:val="1"/>
    <w:qFormat/>
    <w:uiPriority w:val="0"/>
    <w:pPr>
      <w:tabs>
        <w:tab w:val="left" w:pos="3969"/>
      </w:tabs>
      <w:adjustRightInd w:val="0"/>
      <w:spacing w:before="120" w:line="300" w:lineRule="auto"/>
      <w:ind w:firstLine="567"/>
      <w:jc w:val="left"/>
    </w:pPr>
    <w:rPr>
      <w:kern w:val="0"/>
      <w:position w:val="20"/>
      <w:sz w:val="28"/>
      <w:szCs w:val="20"/>
    </w:rPr>
  </w:style>
  <w:style w:type="paragraph" w:customStyle="1" w:styleId="168">
    <w:name w:val="正文文本缩进 21"/>
    <w:basedOn w:val="1"/>
    <w:qFormat/>
    <w:uiPriority w:val="0"/>
    <w:pPr>
      <w:widowControl/>
      <w:tabs>
        <w:tab w:val="left" w:pos="420"/>
      </w:tabs>
      <w:spacing w:line="480" w:lineRule="auto"/>
      <w:ind w:firstLine="560"/>
      <w:jc w:val="left"/>
    </w:pPr>
    <w:rPr>
      <w:rFonts w:eastAsiaTheme="minorEastAsia"/>
    </w:rPr>
  </w:style>
  <w:style w:type="paragraph" w:customStyle="1" w:styleId="169">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eastAsiaTheme="minorEastAsia"/>
      <w:szCs w:val="22"/>
    </w:rPr>
  </w:style>
  <w:style w:type="paragraph" w:customStyle="1" w:styleId="170">
    <w:name w:val="正文文本缩进 31"/>
    <w:basedOn w:val="1"/>
    <w:qFormat/>
    <w:uiPriority w:val="0"/>
    <w:pPr>
      <w:tabs>
        <w:tab w:val="left" w:pos="420"/>
      </w:tabs>
      <w:spacing w:line="360" w:lineRule="auto"/>
      <w:ind w:firstLine="280" w:firstLineChars="100"/>
    </w:pPr>
    <w:rPr>
      <w:rFonts w:eastAsiaTheme="minorEastAsia"/>
      <w:sz w:val="16"/>
      <w:szCs w:val="16"/>
    </w:rPr>
  </w:style>
  <w:style w:type="character" w:customStyle="1" w:styleId="171">
    <w:name w:val="正文文本 3 Char1"/>
    <w:basedOn w:val="54"/>
    <w:link w:val="172"/>
    <w:qFormat/>
    <w:locked/>
    <w:uiPriority w:val="0"/>
    <w:rPr>
      <w:rFonts w:ascii="Times New Roman" w:hAnsi="Times New Roman" w:cs="Times New Roman"/>
      <w:sz w:val="16"/>
      <w:szCs w:val="16"/>
    </w:rPr>
  </w:style>
  <w:style w:type="paragraph" w:customStyle="1" w:styleId="172">
    <w:name w:val="正文文本 31"/>
    <w:basedOn w:val="1"/>
    <w:link w:val="171"/>
    <w:qFormat/>
    <w:uiPriority w:val="0"/>
    <w:pPr>
      <w:tabs>
        <w:tab w:val="left" w:pos="420"/>
      </w:tabs>
      <w:spacing w:after="120"/>
    </w:pPr>
    <w:rPr>
      <w:rFonts w:eastAsiaTheme="minorEastAsia"/>
      <w:sz w:val="16"/>
      <w:szCs w:val="16"/>
    </w:rPr>
  </w:style>
  <w:style w:type="character" w:customStyle="1" w:styleId="173">
    <w:name w:val="正文文本缩进 Char1"/>
    <w:basedOn w:val="54"/>
    <w:link w:val="174"/>
    <w:qFormat/>
    <w:locked/>
    <w:uiPriority w:val="0"/>
    <w:rPr>
      <w:rFonts w:ascii="Times New Roman" w:hAnsi="Times New Roman" w:cs="Times New Roman"/>
      <w:szCs w:val="24"/>
    </w:rPr>
  </w:style>
  <w:style w:type="paragraph" w:customStyle="1" w:styleId="174">
    <w:name w:val="正文文本缩进1"/>
    <w:basedOn w:val="1"/>
    <w:link w:val="173"/>
    <w:qFormat/>
    <w:uiPriority w:val="0"/>
    <w:pPr>
      <w:tabs>
        <w:tab w:val="left" w:pos="420"/>
      </w:tabs>
      <w:ind w:firstLine="407" w:firstLineChars="200"/>
    </w:pPr>
    <w:rPr>
      <w:rFonts w:eastAsiaTheme="minorEastAsia"/>
    </w:rPr>
  </w:style>
  <w:style w:type="character" w:customStyle="1" w:styleId="175">
    <w:name w:val="批注主题 Char Char Char"/>
    <w:link w:val="176"/>
    <w:qFormat/>
    <w:locked/>
    <w:uiPriority w:val="0"/>
    <w:rPr>
      <w:rFonts w:ascii="宋体" w:hAnsi="宋体" w:eastAsia="宋体"/>
      <w:sz w:val="24"/>
      <w:szCs w:val="28"/>
    </w:rPr>
  </w:style>
  <w:style w:type="paragraph" w:customStyle="1" w:styleId="176">
    <w:name w:val="批注主题 Char Char"/>
    <w:basedOn w:val="18"/>
    <w:next w:val="18"/>
    <w:link w:val="175"/>
    <w:qFormat/>
    <w:uiPriority w:val="0"/>
    <w:pPr>
      <w:tabs>
        <w:tab w:val="left" w:pos="420"/>
      </w:tabs>
    </w:pPr>
    <w:rPr>
      <w:rFonts w:ascii="宋体" w:hAnsi="宋体" w:cstheme="minorBidi"/>
      <w:sz w:val="24"/>
      <w:szCs w:val="28"/>
    </w:rPr>
  </w:style>
  <w:style w:type="character" w:customStyle="1" w:styleId="177">
    <w:name w:val="文档结构图 Char2"/>
    <w:basedOn w:val="54"/>
    <w:link w:val="178"/>
    <w:qFormat/>
    <w:locked/>
    <w:uiPriority w:val="0"/>
    <w:rPr>
      <w:rFonts w:ascii="宋体" w:hAnsi="Times New Roman" w:eastAsia="宋体"/>
      <w:sz w:val="18"/>
      <w:szCs w:val="18"/>
      <w:shd w:val="clear" w:color="auto" w:fill="000080"/>
    </w:rPr>
  </w:style>
  <w:style w:type="paragraph" w:customStyle="1" w:styleId="178">
    <w:name w:val="文档结构图1"/>
    <w:basedOn w:val="1"/>
    <w:link w:val="177"/>
    <w:qFormat/>
    <w:uiPriority w:val="0"/>
    <w:pPr>
      <w:shd w:val="clear" w:color="auto" w:fill="000080"/>
      <w:tabs>
        <w:tab w:val="left" w:pos="420"/>
      </w:tabs>
    </w:pPr>
    <w:rPr>
      <w:rFonts w:ascii="宋体" w:cstheme="minorBidi"/>
      <w:sz w:val="18"/>
      <w:szCs w:val="18"/>
    </w:rPr>
  </w:style>
  <w:style w:type="character" w:customStyle="1" w:styleId="179">
    <w:name w:val="批注框文本 Char2"/>
    <w:basedOn w:val="54"/>
    <w:link w:val="180"/>
    <w:qFormat/>
    <w:locked/>
    <w:uiPriority w:val="0"/>
    <w:rPr>
      <w:rFonts w:ascii="Times New Roman" w:hAnsi="Times New Roman" w:cs="Times New Roman"/>
      <w:sz w:val="18"/>
      <w:szCs w:val="18"/>
    </w:rPr>
  </w:style>
  <w:style w:type="paragraph" w:customStyle="1" w:styleId="180">
    <w:name w:val="批注框文本 Char Char"/>
    <w:basedOn w:val="1"/>
    <w:link w:val="179"/>
    <w:qFormat/>
    <w:uiPriority w:val="0"/>
    <w:pPr>
      <w:tabs>
        <w:tab w:val="left" w:pos="420"/>
      </w:tabs>
    </w:pPr>
    <w:rPr>
      <w:rFonts w:eastAsiaTheme="minorEastAsia"/>
      <w:sz w:val="18"/>
      <w:szCs w:val="18"/>
    </w:rPr>
  </w:style>
  <w:style w:type="character" w:customStyle="1" w:styleId="181">
    <w:name w:val="日期 Char2"/>
    <w:basedOn w:val="54"/>
    <w:link w:val="182"/>
    <w:qFormat/>
    <w:locked/>
    <w:uiPriority w:val="99"/>
    <w:rPr>
      <w:rFonts w:ascii="Times New Roman" w:hAnsi="Times New Roman" w:cs="Times New Roman"/>
      <w:szCs w:val="24"/>
    </w:rPr>
  </w:style>
  <w:style w:type="paragraph" w:customStyle="1" w:styleId="182">
    <w:name w:val="日期1"/>
    <w:basedOn w:val="1"/>
    <w:next w:val="1"/>
    <w:link w:val="181"/>
    <w:qFormat/>
    <w:uiPriority w:val="0"/>
    <w:pPr>
      <w:tabs>
        <w:tab w:val="left" w:pos="420"/>
      </w:tabs>
      <w:ind w:left="100" w:leftChars="2500"/>
    </w:pPr>
    <w:rPr>
      <w:rFonts w:eastAsiaTheme="minorEastAsia"/>
    </w:rPr>
  </w:style>
  <w:style w:type="character" w:customStyle="1" w:styleId="183">
    <w:name w:val="批注主题 Char2"/>
    <w:basedOn w:val="184"/>
    <w:link w:val="185"/>
    <w:qFormat/>
    <w:locked/>
    <w:uiPriority w:val="0"/>
    <w:rPr>
      <w:rFonts w:ascii="Times New Roman" w:hAnsi="Times New Roman" w:eastAsia="宋体" w:cs="Times New Roman"/>
      <w:b/>
      <w:bCs/>
      <w:szCs w:val="24"/>
    </w:rPr>
  </w:style>
  <w:style w:type="character" w:customStyle="1" w:styleId="184">
    <w:name w:val="批注文字 Char1"/>
    <w:basedOn w:val="54"/>
    <w:qFormat/>
    <w:locked/>
    <w:uiPriority w:val="99"/>
    <w:rPr>
      <w:rFonts w:ascii="Times New Roman" w:hAnsi="Times New Roman" w:eastAsia="宋体" w:cs="Times New Roman"/>
      <w:szCs w:val="24"/>
    </w:rPr>
  </w:style>
  <w:style w:type="paragraph" w:customStyle="1" w:styleId="185">
    <w:name w:val="批注主题1"/>
    <w:basedOn w:val="18"/>
    <w:next w:val="18"/>
    <w:link w:val="183"/>
    <w:qFormat/>
    <w:uiPriority w:val="0"/>
    <w:pPr>
      <w:tabs>
        <w:tab w:val="left" w:pos="420"/>
      </w:tabs>
    </w:pPr>
    <w:rPr>
      <w:b/>
      <w:bCs/>
    </w:rPr>
  </w:style>
  <w:style w:type="paragraph" w:customStyle="1" w:styleId="186">
    <w:name w:val="索引 41"/>
    <w:basedOn w:val="1"/>
    <w:next w:val="1"/>
    <w:qFormat/>
    <w:uiPriority w:val="0"/>
    <w:pPr>
      <w:tabs>
        <w:tab w:val="left" w:pos="420"/>
      </w:tabs>
      <w:ind w:left="600" w:leftChars="600"/>
    </w:pPr>
  </w:style>
  <w:style w:type="paragraph" w:customStyle="1" w:styleId="187">
    <w:name w:val="正文文本 21"/>
    <w:basedOn w:val="1"/>
    <w:qFormat/>
    <w:uiPriority w:val="0"/>
    <w:pPr>
      <w:tabs>
        <w:tab w:val="left" w:pos="420"/>
      </w:tabs>
    </w:pPr>
    <w:rPr>
      <w:i/>
      <w:iCs/>
      <w:sz w:val="26"/>
    </w:rPr>
  </w:style>
  <w:style w:type="paragraph" w:customStyle="1" w:styleId="188">
    <w:name w:val="正文缩进1"/>
    <w:basedOn w:val="1"/>
    <w:qFormat/>
    <w:uiPriority w:val="0"/>
    <w:pPr>
      <w:tabs>
        <w:tab w:val="left" w:pos="420"/>
      </w:tabs>
      <w:adjustRightInd w:val="0"/>
      <w:spacing w:line="480" w:lineRule="atLeast"/>
      <w:ind w:firstLine="600"/>
    </w:pPr>
    <w:rPr>
      <w:rFonts w:eastAsia="仿宋_GB2312"/>
      <w:kern w:val="0"/>
      <w:sz w:val="30"/>
      <w:szCs w:val="20"/>
    </w:rPr>
  </w:style>
  <w:style w:type="paragraph" w:customStyle="1" w:styleId="189">
    <w:name w:val="zz"/>
    <w:basedOn w:val="1"/>
    <w:qFormat/>
    <w:uiPriority w:val="0"/>
    <w:pPr>
      <w:widowControl/>
      <w:tabs>
        <w:tab w:val="left" w:pos="420"/>
      </w:tabs>
      <w:spacing w:before="30"/>
      <w:jc w:val="right"/>
    </w:pPr>
    <w:rPr>
      <w:rFonts w:ascii="方正书宋简体" w:hAnsi="宋体" w:eastAsia="方正书宋简体"/>
      <w:color w:val="000000"/>
      <w:kern w:val="0"/>
      <w:szCs w:val="21"/>
    </w:rPr>
  </w:style>
  <w:style w:type="paragraph" w:customStyle="1" w:styleId="190">
    <w:name w:val="_Style 10"/>
    <w:next w:val="1"/>
    <w:qFormat/>
    <w:uiPriority w:val="0"/>
    <w:pPr>
      <w:widowControl w:val="0"/>
      <w:tabs>
        <w:tab w:val="left" w:pos="420"/>
      </w:tabs>
      <w:jc w:val="both"/>
    </w:pPr>
    <w:rPr>
      <w:rFonts w:ascii="Times New Roman" w:hAnsi="Times New Roman" w:eastAsia="宋体" w:cs="Times New Roman"/>
      <w:szCs w:val="24"/>
      <w:lang w:val="en-US" w:eastAsia="zh-CN" w:bidi="ar-SA"/>
    </w:rPr>
  </w:style>
  <w:style w:type="paragraph" w:customStyle="1" w:styleId="191">
    <w:name w:val="pa-27"/>
    <w:basedOn w:val="1"/>
    <w:qFormat/>
    <w:uiPriority w:val="0"/>
    <w:pPr>
      <w:widowControl/>
      <w:tabs>
        <w:tab w:val="left" w:pos="420"/>
      </w:tabs>
      <w:spacing w:line="360" w:lineRule="atLeast"/>
      <w:ind w:firstLine="420"/>
    </w:pPr>
    <w:rPr>
      <w:rFonts w:ascii="宋体" w:hAnsi="宋体" w:cs="宋体"/>
      <w:kern w:val="0"/>
      <w:sz w:val="24"/>
    </w:rPr>
  </w:style>
  <w:style w:type="paragraph" w:customStyle="1" w:styleId="192">
    <w:name w:val="style12"/>
    <w:basedOn w:val="1"/>
    <w:qFormat/>
    <w:uiPriority w:val="0"/>
    <w:pPr>
      <w:widowControl/>
      <w:tabs>
        <w:tab w:val="left" w:pos="420"/>
      </w:tabs>
      <w:spacing w:before="100" w:beforeAutospacing="1" w:after="100" w:afterAutospacing="1"/>
      <w:jc w:val="left"/>
    </w:pPr>
    <w:rPr>
      <w:rFonts w:ascii="宋体" w:hAnsi="宋体" w:cs="宋体"/>
      <w:kern w:val="0"/>
      <w:sz w:val="18"/>
      <w:szCs w:val="18"/>
    </w:rPr>
  </w:style>
  <w:style w:type="paragraph" w:customStyle="1" w:styleId="193">
    <w:name w:val="zw"/>
    <w:basedOn w:val="1"/>
    <w:qFormat/>
    <w:uiPriority w:val="0"/>
    <w:pPr>
      <w:widowControl/>
      <w:tabs>
        <w:tab w:val="left" w:pos="420"/>
      </w:tabs>
      <w:spacing w:before="30"/>
      <w:ind w:left="100" w:right="100"/>
    </w:pPr>
    <w:rPr>
      <w:rFonts w:ascii="方正书宋简体" w:hAnsi="宋体" w:eastAsia="方正书宋简体"/>
      <w:color w:val="000000"/>
      <w:kern w:val="0"/>
      <w:szCs w:val="21"/>
    </w:rPr>
  </w:style>
  <w:style w:type="paragraph" w:customStyle="1" w:styleId="194">
    <w:name w:val="样式 标题 1 + 黑体 三号 非加粗 居中 段前: 6 磅 段后: 6 磅 行距: 固定值 20 磅"/>
    <w:basedOn w:val="3"/>
    <w:qFormat/>
    <w:uiPriority w:val="0"/>
    <w:pPr>
      <w:tabs>
        <w:tab w:val="left" w:pos="420"/>
      </w:tabs>
      <w:spacing w:before="120" w:after="120" w:line="400" w:lineRule="exact"/>
      <w:jc w:val="center"/>
    </w:pPr>
    <w:rPr>
      <w:rFonts w:ascii="黑体" w:hAnsi="黑体" w:eastAsia="黑体" w:cs="宋体"/>
      <w:b w:val="0"/>
      <w:bCs w:val="0"/>
      <w:sz w:val="32"/>
      <w:szCs w:val="20"/>
    </w:rPr>
  </w:style>
  <w:style w:type="paragraph" w:customStyle="1" w:styleId="195">
    <w:name w:val="1"/>
    <w:basedOn w:val="1"/>
    <w:qFormat/>
    <w:uiPriority w:val="0"/>
    <w:pPr>
      <w:widowControl/>
      <w:tabs>
        <w:tab w:val="left" w:pos="420"/>
      </w:tabs>
      <w:spacing w:before="100" w:beforeAutospacing="1" w:after="100" w:afterAutospacing="1"/>
      <w:jc w:val="left"/>
    </w:pPr>
    <w:rPr>
      <w:rFonts w:ascii="ˎ̥" w:hAnsi="ˎ̥" w:cs="宋体"/>
      <w:kern w:val="0"/>
      <w:sz w:val="24"/>
    </w:rPr>
  </w:style>
  <w:style w:type="paragraph" w:customStyle="1" w:styleId="196">
    <w:name w:val="表格内容"/>
    <w:basedOn w:val="1"/>
    <w:qFormat/>
    <w:uiPriority w:val="0"/>
    <w:pPr>
      <w:suppressLineNumbers/>
      <w:tabs>
        <w:tab w:val="left" w:pos="420"/>
      </w:tabs>
      <w:suppressAutoHyphens/>
    </w:pPr>
  </w:style>
  <w:style w:type="paragraph" w:customStyle="1" w:styleId="197">
    <w:name w:val="rw"/>
    <w:basedOn w:val="1"/>
    <w:qFormat/>
    <w:uiPriority w:val="0"/>
    <w:pPr>
      <w:widowControl/>
      <w:tabs>
        <w:tab w:val="left" w:pos="420"/>
      </w:tabs>
      <w:spacing w:before="30"/>
      <w:ind w:left="100" w:right="100"/>
      <w:jc w:val="right"/>
    </w:pPr>
    <w:rPr>
      <w:rFonts w:ascii="方正仿宋简体" w:hAnsi="宋体" w:eastAsia="方正仿宋简体"/>
      <w:color w:val="000000"/>
      <w:kern w:val="0"/>
      <w:szCs w:val="21"/>
    </w:rPr>
  </w:style>
  <w:style w:type="paragraph" w:customStyle="1" w:styleId="198">
    <w:name w:val="intel1"/>
    <w:basedOn w:val="1"/>
    <w:qFormat/>
    <w:uiPriority w:val="0"/>
    <w:pPr>
      <w:widowControl/>
      <w:tabs>
        <w:tab w:val="left" w:pos="420"/>
      </w:tabs>
      <w:spacing w:before="100" w:beforeAutospacing="1" w:after="100" w:afterAutospacing="1"/>
      <w:jc w:val="left"/>
    </w:pPr>
    <w:rPr>
      <w:rFonts w:ascii="宋体" w:hAnsi="宋体" w:cs="宋体"/>
      <w:kern w:val="0"/>
      <w:sz w:val="24"/>
    </w:rPr>
  </w:style>
  <w:style w:type="paragraph" w:customStyle="1" w:styleId="199">
    <w:name w:val="空半行"/>
    <w:basedOn w:val="1"/>
    <w:qFormat/>
    <w:uiPriority w:val="0"/>
    <w:pPr>
      <w:tabs>
        <w:tab w:val="left" w:pos="420"/>
      </w:tabs>
      <w:adjustRightInd w:val="0"/>
      <w:spacing w:line="120" w:lineRule="exact"/>
    </w:pPr>
    <w:rPr>
      <w:rFonts w:eastAsia="仿宋_GB2312"/>
      <w:color w:val="FFFFFF"/>
      <w:kern w:val="0"/>
      <w:sz w:val="30"/>
      <w:szCs w:val="20"/>
    </w:rPr>
  </w:style>
  <w:style w:type="paragraph" w:customStyle="1" w:styleId="200">
    <w:name w:val="修订111"/>
    <w:qFormat/>
    <w:uiPriority w:val="0"/>
    <w:pPr>
      <w:tabs>
        <w:tab w:val="left" w:pos="420"/>
      </w:tabs>
    </w:pPr>
    <w:rPr>
      <w:rFonts w:ascii="Times New Roman" w:hAnsi="Times New Roman" w:eastAsia="宋体" w:cs="Times New Roman"/>
      <w:kern w:val="2"/>
      <w:sz w:val="21"/>
      <w:szCs w:val="24"/>
      <w:lang w:val="en-US" w:eastAsia="zh-CN" w:bidi="ar-SA"/>
    </w:rPr>
  </w:style>
  <w:style w:type="paragraph" w:customStyle="1" w:styleId="201">
    <w:name w:val="普通(网站)1"/>
    <w:basedOn w:val="1"/>
    <w:qFormat/>
    <w:uiPriority w:val="0"/>
    <w:pPr>
      <w:widowControl/>
      <w:tabs>
        <w:tab w:val="left" w:pos="420"/>
      </w:tabs>
      <w:spacing w:before="100" w:beforeAutospacing="1" w:after="100" w:afterAutospacing="1"/>
      <w:jc w:val="left"/>
    </w:pPr>
    <w:rPr>
      <w:rFonts w:ascii="宋体" w:hAnsi="宋体" w:cs="宋体"/>
      <w:kern w:val="0"/>
      <w:sz w:val="24"/>
    </w:rPr>
  </w:style>
  <w:style w:type="paragraph" w:customStyle="1" w:styleId="202">
    <w:name w:val="列出段落111"/>
    <w:basedOn w:val="1"/>
    <w:qFormat/>
    <w:uiPriority w:val="34"/>
    <w:pPr>
      <w:tabs>
        <w:tab w:val="left" w:pos="420"/>
      </w:tabs>
      <w:ind w:firstLine="420" w:firstLineChars="200"/>
    </w:pPr>
    <w:rPr>
      <w:sz w:val="28"/>
      <w:szCs w:val="28"/>
    </w:rPr>
  </w:style>
  <w:style w:type="paragraph" w:customStyle="1" w:styleId="203">
    <w:name w:val="自定样式1"/>
    <w:basedOn w:val="1"/>
    <w:qFormat/>
    <w:uiPriority w:val="0"/>
    <w:pPr>
      <w:tabs>
        <w:tab w:val="left" w:pos="420"/>
      </w:tabs>
      <w:suppressAutoHyphens/>
      <w:jc w:val="center"/>
    </w:pPr>
    <w:rPr>
      <w:rFonts w:ascii="宋体" w:hAnsi="宋体"/>
      <w:color w:val="000000"/>
      <w:sz w:val="18"/>
    </w:rPr>
  </w:style>
  <w:style w:type="paragraph" w:customStyle="1" w:styleId="204">
    <w:name w:val="无间隔11"/>
    <w:qFormat/>
    <w:uiPriority w:val="0"/>
    <w:pPr>
      <w:widowControl w:val="0"/>
      <w:tabs>
        <w:tab w:val="left" w:pos="420"/>
      </w:tabs>
      <w:jc w:val="both"/>
    </w:pPr>
    <w:rPr>
      <w:rFonts w:ascii="Calibri" w:hAnsi="Calibri" w:eastAsia="宋体" w:cs="Times New Roman"/>
      <w:kern w:val="2"/>
      <w:sz w:val="21"/>
      <w:szCs w:val="22"/>
      <w:lang w:val="en-US" w:eastAsia="zh-CN" w:bidi="ar-SA"/>
    </w:rPr>
  </w:style>
  <w:style w:type="paragraph" w:customStyle="1" w:styleId="205">
    <w:name w:val="表格"/>
    <w:basedOn w:val="1"/>
    <w:qFormat/>
    <w:uiPriority w:val="0"/>
    <w:pPr>
      <w:tabs>
        <w:tab w:val="left" w:pos="420"/>
      </w:tabs>
      <w:jc w:val="center"/>
    </w:pPr>
    <w:rPr>
      <w:rFonts w:ascii="华文细黑" w:hAnsi="华文细黑"/>
      <w:kern w:val="0"/>
      <w:szCs w:val="20"/>
    </w:rPr>
  </w:style>
  <w:style w:type="paragraph" w:customStyle="1" w:styleId="206">
    <w:name w:val="表格文字"/>
    <w:basedOn w:val="1"/>
    <w:qFormat/>
    <w:uiPriority w:val="0"/>
    <w:pPr>
      <w:tabs>
        <w:tab w:val="left" w:pos="420"/>
      </w:tabs>
      <w:adjustRightInd w:val="0"/>
      <w:spacing w:line="420" w:lineRule="atLeast"/>
      <w:jc w:val="left"/>
    </w:pPr>
    <w:rPr>
      <w:kern w:val="0"/>
      <w:szCs w:val="20"/>
    </w:rPr>
  </w:style>
  <w:style w:type="paragraph" w:customStyle="1" w:styleId="207">
    <w:name w:val="样式 标题 2 + Times New Roman 四号 非加粗 段前: 5 磅 段后: 0 磅 行距: 固定值 20..."/>
    <w:basedOn w:val="4"/>
    <w:qFormat/>
    <w:uiPriority w:val="0"/>
    <w:pPr>
      <w:keepNext/>
      <w:keepLines/>
      <w:tabs>
        <w:tab w:val="left" w:pos="420"/>
      </w:tabs>
      <w:autoSpaceDE/>
      <w:autoSpaceDN/>
      <w:adjustRightInd/>
      <w:snapToGrid/>
      <w:spacing w:before="100" w:line="400" w:lineRule="exact"/>
      <w:jc w:val="both"/>
    </w:pPr>
    <w:rPr>
      <w:rFonts w:ascii="Times New Roman" w:hAnsi="Times New Roman" w:eastAsia="黑体" w:cs="宋体"/>
      <w:b w:val="0"/>
      <w:spacing w:val="0"/>
      <w:w w:val="100"/>
      <w:szCs w:val="20"/>
    </w:rPr>
  </w:style>
  <w:style w:type="paragraph" w:customStyle="1" w:styleId="208">
    <w:name w:val="WW-表格内容"/>
    <w:basedOn w:val="1"/>
    <w:qFormat/>
    <w:uiPriority w:val="0"/>
    <w:pPr>
      <w:suppressLineNumbers/>
      <w:tabs>
        <w:tab w:val="left" w:pos="420"/>
      </w:tabs>
      <w:suppressAutoHyphens/>
    </w:pPr>
  </w:style>
  <w:style w:type="paragraph" w:customStyle="1" w:styleId="209">
    <w:name w:val="6'"/>
    <w:basedOn w:val="1"/>
    <w:qFormat/>
    <w:uiPriority w:val="0"/>
    <w:pPr>
      <w:tabs>
        <w:tab w:val="left" w:pos="420"/>
      </w:tabs>
      <w:autoSpaceDE w:val="0"/>
      <w:autoSpaceDN w:val="0"/>
      <w:adjustRightInd w:val="0"/>
      <w:snapToGrid w:val="0"/>
      <w:spacing w:line="320" w:lineRule="exact"/>
      <w:jc w:val="center"/>
    </w:pPr>
    <w:rPr>
      <w:spacing w:val="20"/>
      <w:kern w:val="28"/>
      <w:szCs w:val="20"/>
    </w:rPr>
  </w:style>
  <w:style w:type="paragraph" w:customStyle="1" w:styleId="210">
    <w:name w:val="g3"/>
    <w:basedOn w:val="1"/>
    <w:qFormat/>
    <w:uiPriority w:val="0"/>
    <w:pPr>
      <w:widowControl/>
      <w:tabs>
        <w:tab w:val="left" w:pos="420"/>
      </w:tabs>
      <w:spacing w:before="100" w:beforeAutospacing="1" w:after="100" w:afterAutospacing="1"/>
      <w:jc w:val="left"/>
    </w:pPr>
    <w:rPr>
      <w:rFonts w:ascii="宋体" w:hAnsi="宋体" w:cs="宋体"/>
      <w:kern w:val="0"/>
      <w:sz w:val="24"/>
    </w:rPr>
  </w:style>
  <w:style w:type="paragraph" w:customStyle="1" w:styleId="211">
    <w:name w:val="p21"/>
    <w:basedOn w:val="1"/>
    <w:qFormat/>
    <w:uiPriority w:val="0"/>
    <w:pPr>
      <w:widowControl/>
      <w:tabs>
        <w:tab w:val="left" w:pos="420"/>
      </w:tabs>
      <w:spacing w:line="360" w:lineRule="auto"/>
      <w:ind w:left="210"/>
      <w:jc w:val="left"/>
    </w:pPr>
    <w:rPr>
      <w:smallCaps/>
      <w:kern w:val="0"/>
      <w:sz w:val="24"/>
    </w:rPr>
  </w:style>
  <w:style w:type="paragraph" w:customStyle="1" w:styleId="212">
    <w:name w:val="TOC 标题2"/>
    <w:basedOn w:val="3"/>
    <w:next w:val="1"/>
    <w:qFormat/>
    <w:uiPriority w:val="0"/>
    <w:pPr>
      <w:tabs>
        <w:tab w:val="left" w:pos="420"/>
      </w:tabs>
      <w:outlineLvl w:val="9"/>
    </w:pPr>
    <w:rPr>
      <w:rFonts w:ascii="Calibri" w:hAnsi="Calibri"/>
    </w:rPr>
  </w:style>
  <w:style w:type="paragraph" w:customStyle="1" w:styleId="213">
    <w:name w:val="g2"/>
    <w:basedOn w:val="1"/>
    <w:qFormat/>
    <w:uiPriority w:val="0"/>
    <w:pPr>
      <w:widowControl/>
      <w:tabs>
        <w:tab w:val="left" w:pos="420"/>
      </w:tabs>
      <w:spacing w:before="100" w:beforeAutospacing="1" w:after="100" w:afterAutospacing="1"/>
      <w:jc w:val="left"/>
    </w:pPr>
    <w:rPr>
      <w:rFonts w:ascii="仿宋_GB2312" w:hAnsi="宋体" w:eastAsia="仿宋_GB2312" w:cs="宋体"/>
      <w:kern w:val="0"/>
      <w:sz w:val="17"/>
      <w:szCs w:val="17"/>
    </w:rPr>
  </w:style>
  <w:style w:type="paragraph" w:customStyle="1" w:styleId="214">
    <w:name w:val="样式 标题 3 + (中文) 黑体 小四 非加粗 段前: 7.8 磅 段后: 0 磅 行距: 固定值 20 磅"/>
    <w:basedOn w:val="5"/>
    <w:next w:val="1"/>
    <w:qFormat/>
    <w:uiPriority w:val="0"/>
    <w:pPr>
      <w:keepNext/>
      <w:keepLines/>
      <w:tabs>
        <w:tab w:val="left" w:pos="420"/>
      </w:tabs>
      <w:autoSpaceDE/>
      <w:autoSpaceDN/>
      <w:adjustRightInd/>
      <w:spacing w:before="0" w:line="400" w:lineRule="exact"/>
      <w:jc w:val="both"/>
    </w:pPr>
    <w:rPr>
      <w:rFonts w:ascii="Times New Roman" w:hAnsi="Times New Roman" w:eastAsia="黑体" w:cs="宋体"/>
      <w:b w:val="0"/>
      <w:szCs w:val="20"/>
    </w:rPr>
  </w:style>
  <w:style w:type="paragraph" w:customStyle="1" w:styleId="215">
    <w:name w:val="p16"/>
    <w:qFormat/>
    <w:uiPriority w:val="0"/>
    <w:pPr>
      <w:tabs>
        <w:tab w:val="left" w:pos="420"/>
      </w:tabs>
      <w:snapToGrid w:val="0"/>
    </w:pPr>
    <w:rPr>
      <w:rFonts w:ascii="宋体" w:hAnsi="宋体" w:eastAsia="宋体" w:cs="宋体"/>
      <w:sz w:val="24"/>
      <w:lang w:val="en-US" w:eastAsia="zh-CN" w:bidi="ar-SA"/>
    </w:rPr>
  </w:style>
  <w:style w:type="paragraph" w:customStyle="1" w:styleId="216">
    <w:name w:val="l-2"/>
    <w:basedOn w:val="1"/>
    <w:qFormat/>
    <w:uiPriority w:val="0"/>
    <w:pPr>
      <w:widowControl/>
      <w:tabs>
        <w:tab w:val="left" w:pos="420"/>
      </w:tabs>
      <w:spacing w:before="100" w:beforeAutospacing="1" w:after="100" w:afterAutospacing="1"/>
      <w:jc w:val="left"/>
    </w:pPr>
    <w:rPr>
      <w:rFonts w:ascii="宋体" w:hAnsi="宋体" w:cs="宋体"/>
      <w:b/>
      <w:bCs/>
      <w:color w:val="000000"/>
      <w:kern w:val="0"/>
      <w:sz w:val="13"/>
      <w:szCs w:val="13"/>
    </w:rPr>
  </w:style>
  <w:style w:type="paragraph" w:customStyle="1" w:styleId="217">
    <w:name w:val="TOC 标题3"/>
    <w:basedOn w:val="3"/>
    <w:next w:val="1"/>
    <w:qFormat/>
    <w:uiPriority w:val="0"/>
    <w:pPr>
      <w:tabs>
        <w:tab w:val="left" w:pos="420"/>
      </w:tabs>
      <w:outlineLvl w:val="9"/>
    </w:pPr>
    <w:rPr>
      <w:rFonts w:ascii="Calibri" w:hAnsi="Calibri"/>
    </w:rPr>
  </w:style>
  <w:style w:type="paragraph" w:customStyle="1" w:styleId="218">
    <w:name w:val="mtitle"/>
    <w:basedOn w:val="1"/>
    <w:qFormat/>
    <w:uiPriority w:val="0"/>
    <w:pPr>
      <w:widowControl/>
      <w:tabs>
        <w:tab w:val="left" w:pos="420"/>
      </w:tabs>
      <w:spacing w:before="30"/>
      <w:jc w:val="center"/>
    </w:pPr>
    <w:rPr>
      <w:rFonts w:ascii="方正小标宋简体" w:hAnsi="宋体" w:eastAsia="方正小标宋简体"/>
      <w:color w:val="000000"/>
      <w:kern w:val="0"/>
      <w:sz w:val="44"/>
      <w:szCs w:val="44"/>
    </w:rPr>
  </w:style>
  <w:style w:type="paragraph" w:customStyle="1" w:styleId="219">
    <w:name w:val="g11"/>
    <w:basedOn w:val="1"/>
    <w:qFormat/>
    <w:uiPriority w:val="0"/>
    <w:pPr>
      <w:widowControl/>
      <w:tabs>
        <w:tab w:val="left" w:pos="420"/>
      </w:tabs>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20">
    <w:name w:val="修订2"/>
    <w:qFormat/>
    <w:uiPriority w:val="0"/>
    <w:pPr>
      <w:tabs>
        <w:tab w:val="left" w:pos="420"/>
      </w:tabs>
    </w:pPr>
    <w:rPr>
      <w:rFonts w:ascii="Times New Roman" w:hAnsi="Times New Roman" w:eastAsia="宋体" w:cs="Times New Roman"/>
      <w:kern w:val="2"/>
      <w:sz w:val="21"/>
      <w:szCs w:val="24"/>
      <w:lang w:val="en-US" w:eastAsia="zh-CN" w:bidi="ar-SA"/>
    </w:rPr>
  </w:style>
  <w:style w:type="paragraph" w:customStyle="1" w:styleId="221">
    <w:name w:val="ly"/>
    <w:basedOn w:val="1"/>
    <w:qFormat/>
    <w:uiPriority w:val="0"/>
    <w:pPr>
      <w:widowControl/>
      <w:tabs>
        <w:tab w:val="left" w:pos="420"/>
      </w:tabs>
      <w:spacing w:before="30"/>
      <w:jc w:val="right"/>
    </w:pPr>
    <w:rPr>
      <w:rFonts w:ascii="方正书宋简体" w:hAnsi="宋体" w:eastAsia="方正书宋简体"/>
      <w:color w:val="000000"/>
      <w:kern w:val="0"/>
      <w:szCs w:val="21"/>
    </w:rPr>
  </w:style>
  <w:style w:type="paragraph" w:customStyle="1" w:styleId="222">
    <w:name w:val="rr"/>
    <w:basedOn w:val="1"/>
    <w:qFormat/>
    <w:uiPriority w:val="0"/>
    <w:pPr>
      <w:widowControl/>
      <w:tabs>
        <w:tab w:val="left" w:pos="420"/>
      </w:tabs>
      <w:spacing w:before="100" w:beforeAutospacing="1" w:after="100" w:afterAutospacing="1"/>
      <w:jc w:val="left"/>
    </w:pPr>
    <w:rPr>
      <w:rFonts w:ascii="宋体" w:hAnsi="宋体"/>
      <w:kern w:val="0"/>
      <w:szCs w:val="21"/>
    </w:rPr>
  </w:style>
  <w:style w:type="paragraph" w:customStyle="1" w:styleId="223">
    <w:name w:val="标题1"/>
    <w:basedOn w:val="1"/>
    <w:qFormat/>
    <w:uiPriority w:val="0"/>
    <w:pPr>
      <w:widowControl/>
      <w:tabs>
        <w:tab w:val="left" w:pos="420"/>
      </w:tabs>
      <w:spacing w:before="100" w:beforeAutospacing="1" w:after="100" w:afterAutospacing="1"/>
      <w:jc w:val="left"/>
    </w:pPr>
    <w:rPr>
      <w:rFonts w:ascii="宋体" w:hAnsi="宋体" w:cs="宋体"/>
      <w:kern w:val="0"/>
      <w:sz w:val="24"/>
    </w:rPr>
  </w:style>
  <w:style w:type="paragraph" w:customStyle="1" w:styleId="224">
    <w:name w:val="索引 11"/>
    <w:basedOn w:val="1"/>
    <w:next w:val="1"/>
    <w:qFormat/>
    <w:uiPriority w:val="0"/>
    <w:pPr>
      <w:tabs>
        <w:tab w:val="left" w:pos="420"/>
      </w:tabs>
      <w:spacing w:line="220" w:lineRule="exact"/>
      <w:jc w:val="center"/>
    </w:pPr>
    <w:rPr>
      <w:rFonts w:ascii="仿宋_GB2312" w:eastAsia="仿宋_GB2312"/>
      <w:szCs w:val="21"/>
    </w:rPr>
  </w:style>
  <w:style w:type="paragraph" w:customStyle="1" w:styleId="225">
    <w:name w:val="修订11"/>
    <w:qFormat/>
    <w:uiPriority w:val="0"/>
    <w:pPr>
      <w:tabs>
        <w:tab w:val="left" w:pos="420"/>
      </w:tabs>
    </w:pPr>
    <w:rPr>
      <w:rFonts w:ascii="Times New Roman" w:hAnsi="Times New Roman" w:eastAsia="宋体" w:cs="Times New Roman"/>
      <w:szCs w:val="24"/>
      <w:lang w:val="en-US" w:eastAsia="zh-CN" w:bidi="ar-SA"/>
    </w:rPr>
  </w:style>
  <w:style w:type="paragraph" w:customStyle="1" w:styleId="226">
    <w:name w:val="flNote"/>
    <w:basedOn w:val="1"/>
    <w:qFormat/>
    <w:uiPriority w:val="0"/>
    <w:pPr>
      <w:tabs>
        <w:tab w:val="left" w:pos="420"/>
      </w:tabs>
      <w:adjustRightInd w:val="0"/>
      <w:spacing w:before="320" w:after="160" w:line="360" w:lineRule="atLeast"/>
      <w:jc w:val="center"/>
    </w:pPr>
    <w:rPr>
      <w:rFonts w:ascii="Arial" w:eastAsia="黑体"/>
      <w:kern w:val="0"/>
      <w:sz w:val="30"/>
      <w:szCs w:val="20"/>
    </w:rPr>
  </w:style>
  <w:style w:type="character" w:customStyle="1" w:styleId="227">
    <w:name w:val="样式3 Char"/>
    <w:qFormat/>
    <w:uiPriority w:val="0"/>
    <w:rPr>
      <w:rFonts w:hint="eastAsia" w:ascii="宋体" w:hAnsi="宋体" w:eastAsia="仿宋_GB2312"/>
      <w:b/>
      <w:bCs/>
      <w:kern w:val="2"/>
      <w:sz w:val="24"/>
      <w:szCs w:val="32"/>
      <w:lang w:val="en-US" w:eastAsia="zh-CN" w:bidi="ar-SA"/>
    </w:rPr>
  </w:style>
  <w:style w:type="character" w:customStyle="1" w:styleId="228">
    <w:name w:val="Char Char2"/>
    <w:qFormat/>
    <w:uiPriority w:val="0"/>
    <w:rPr>
      <w:rFonts w:hint="eastAsia" w:ascii="宋体" w:hAnsi="宋体" w:eastAsia="宋体"/>
      <w:sz w:val="24"/>
      <w:lang w:val="en-US" w:eastAsia="zh-CN" w:bidi="ar-SA"/>
    </w:rPr>
  </w:style>
  <w:style w:type="character" w:customStyle="1" w:styleId="229">
    <w:name w:val="Char Char3"/>
    <w:qFormat/>
    <w:uiPriority w:val="0"/>
    <w:rPr>
      <w:rFonts w:hint="eastAsia" w:ascii="宋体" w:hAnsi="宋体" w:eastAsia="宋体"/>
      <w:kern w:val="2"/>
      <w:sz w:val="18"/>
      <w:szCs w:val="18"/>
      <w:lang w:val="en-US" w:eastAsia="zh-CN" w:bidi="ar-SA"/>
    </w:rPr>
  </w:style>
  <w:style w:type="character" w:customStyle="1" w:styleId="230">
    <w:name w:val="Char Char1"/>
    <w:qFormat/>
    <w:uiPriority w:val="0"/>
    <w:rPr>
      <w:rFonts w:hint="eastAsia" w:ascii="宋体" w:hAnsi="宋体" w:eastAsia="宋体"/>
      <w:kern w:val="2"/>
      <w:sz w:val="18"/>
      <w:szCs w:val="18"/>
      <w:lang w:val="en-US" w:eastAsia="zh-CN" w:bidi="ar-SA"/>
    </w:rPr>
  </w:style>
  <w:style w:type="character" w:customStyle="1" w:styleId="231">
    <w:name w:val="Char Char7"/>
    <w:qFormat/>
    <w:uiPriority w:val="0"/>
    <w:rPr>
      <w:kern w:val="2"/>
      <w:sz w:val="18"/>
      <w:szCs w:val="18"/>
    </w:rPr>
  </w:style>
  <w:style w:type="character" w:customStyle="1" w:styleId="232">
    <w:name w:val="Char Char6"/>
    <w:qFormat/>
    <w:uiPriority w:val="0"/>
    <w:rPr>
      <w:sz w:val="24"/>
    </w:rPr>
  </w:style>
  <w:style w:type="character" w:customStyle="1" w:styleId="233">
    <w:name w:val="Char Char5"/>
    <w:qFormat/>
    <w:uiPriority w:val="0"/>
    <w:rPr>
      <w:kern w:val="2"/>
      <w:sz w:val="18"/>
      <w:szCs w:val="18"/>
    </w:rPr>
  </w:style>
  <w:style w:type="character" w:customStyle="1" w:styleId="234">
    <w:name w:val="Char Char11"/>
    <w:qFormat/>
    <w:uiPriority w:val="0"/>
    <w:rPr>
      <w:rFonts w:hint="eastAsia" w:ascii="黑体" w:hAnsi="黑体" w:eastAsia="黑体"/>
      <w:kern w:val="2"/>
      <w:sz w:val="44"/>
      <w:szCs w:val="44"/>
      <w:lang w:val="en-US" w:eastAsia="zh-CN" w:bidi="ar-SA"/>
    </w:rPr>
  </w:style>
  <w:style w:type="character" w:customStyle="1" w:styleId="235">
    <w:name w:val="Char Char10"/>
    <w:qFormat/>
    <w:uiPriority w:val="0"/>
    <w:rPr>
      <w:rFonts w:hint="eastAsia" w:ascii="仿宋_GB2312" w:eastAsia="仿宋_GB2312" w:cs="MingLiU"/>
      <w:b/>
      <w:spacing w:val="1"/>
      <w:w w:val="99"/>
      <w:sz w:val="28"/>
      <w:szCs w:val="32"/>
      <w:lang w:bidi="ar-SA"/>
    </w:rPr>
  </w:style>
  <w:style w:type="character" w:customStyle="1" w:styleId="236">
    <w:name w:val="Char Char9"/>
    <w:qFormat/>
    <w:uiPriority w:val="0"/>
    <w:rPr>
      <w:rFonts w:hint="eastAsia" w:ascii="仿宋_GB2312" w:eastAsia="仿宋_GB2312" w:cs="MingLiU"/>
      <w:b/>
      <w:sz w:val="24"/>
      <w:szCs w:val="28"/>
      <w:lang w:bidi="ar-SA"/>
    </w:rPr>
  </w:style>
  <w:style w:type="character" w:customStyle="1" w:styleId="237">
    <w:name w:val="Char Char8"/>
    <w:qFormat/>
    <w:uiPriority w:val="0"/>
    <w:rPr>
      <w:rFonts w:hint="eastAsia" w:ascii="仿宋_GB2312" w:eastAsia="仿宋_GB2312" w:cs="MingLiU"/>
      <w:b/>
      <w:sz w:val="24"/>
      <w:szCs w:val="28"/>
      <w:lang w:bidi="ar-SA"/>
    </w:rPr>
  </w:style>
  <w:style w:type="character" w:customStyle="1" w:styleId="238">
    <w:name w:val="textcontents"/>
    <w:qFormat/>
    <w:uiPriority w:val="0"/>
  </w:style>
  <w:style w:type="character" w:customStyle="1" w:styleId="239">
    <w:name w:val="批注主题 Char1"/>
    <w:basedOn w:val="184"/>
    <w:qFormat/>
    <w:locked/>
    <w:uiPriority w:val="0"/>
    <w:rPr>
      <w:rFonts w:ascii="Times New Roman" w:hAnsi="Times New Roman" w:eastAsia="宋体" w:cs="Times New Roman"/>
      <w:b/>
      <w:bCs/>
      <w:szCs w:val="24"/>
    </w:rPr>
  </w:style>
  <w:style w:type="character" w:customStyle="1" w:styleId="240">
    <w:name w:val="页眉 Char1"/>
    <w:basedOn w:val="54"/>
    <w:qFormat/>
    <w:locked/>
    <w:uiPriority w:val="0"/>
    <w:rPr>
      <w:rFonts w:hint="default" w:ascii="Times New Roman" w:hAnsi="Times New Roman" w:eastAsia="宋体" w:cs="Times New Roman"/>
      <w:sz w:val="18"/>
      <w:szCs w:val="18"/>
    </w:rPr>
  </w:style>
  <w:style w:type="character" w:customStyle="1" w:styleId="241">
    <w:name w:val="标题 3 字符"/>
    <w:qFormat/>
    <w:locked/>
    <w:uiPriority w:val="0"/>
    <w:rPr>
      <w:rFonts w:hint="eastAsia" w:ascii="仿宋_GB2312" w:eastAsia="仿宋_GB2312"/>
      <w:b/>
      <w:kern w:val="2"/>
      <w:sz w:val="24"/>
      <w:lang w:val="en-US" w:eastAsia="zh-CN" w:bidi="ar-SA"/>
    </w:rPr>
  </w:style>
  <w:style w:type="character" w:customStyle="1" w:styleId="242">
    <w:name w:val="color_red1"/>
    <w:qFormat/>
    <w:uiPriority w:val="0"/>
    <w:rPr>
      <w:color w:val="FA0004"/>
    </w:rPr>
  </w:style>
  <w:style w:type="character" w:customStyle="1" w:styleId="243">
    <w:name w:val="页脚 Char1"/>
    <w:basedOn w:val="54"/>
    <w:qFormat/>
    <w:uiPriority w:val="0"/>
    <w:rPr>
      <w:rFonts w:hint="default" w:ascii="Times New Roman" w:hAnsi="Times New Roman" w:eastAsia="宋体" w:cs="Times New Roman"/>
      <w:sz w:val="18"/>
      <w:szCs w:val="18"/>
    </w:rPr>
  </w:style>
  <w:style w:type="character" w:customStyle="1" w:styleId="244">
    <w:name w:val="书籍标题2"/>
    <w:qFormat/>
    <w:uiPriority w:val="0"/>
    <w:rPr>
      <w:b/>
      <w:bCs/>
      <w:smallCaps/>
      <w:spacing w:val="5"/>
    </w:rPr>
  </w:style>
  <w:style w:type="character" w:customStyle="1" w:styleId="245">
    <w:name w:val="明显参考2"/>
    <w:qFormat/>
    <w:uiPriority w:val="0"/>
    <w:rPr>
      <w:b/>
      <w:bCs/>
      <w:smallCaps/>
      <w:color w:val="C0504D"/>
      <w:spacing w:val="5"/>
      <w:u w:val="single"/>
    </w:rPr>
  </w:style>
  <w:style w:type="character" w:customStyle="1" w:styleId="246">
    <w:name w:val="ht1"/>
    <w:qFormat/>
    <w:uiPriority w:val="0"/>
    <w:rPr>
      <w:rFonts w:hint="eastAsia" w:ascii="黑体" w:hAnsi="黑体" w:eastAsia="黑体"/>
      <w:b/>
      <w:bCs/>
    </w:rPr>
  </w:style>
  <w:style w:type="character" w:customStyle="1" w:styleId="247">
    <w:name w:val="日期 Char3"/>
    <w:basedOn w:val="54"/>
    <w:qFormat/>
    <w:uiPriority w:val="0"/>
    <w:rPr>
      <w:kern w:val="2"/>
      <w:sz w:val="21"/>
      <w:szCs w:val="24"/>
    </w:rPr>
  </w:style>
  <w:style w:type="character" w:customStyle="1" w:styleId="248">
    <w:name w:val="脚注文本 字符"/>
    <w:qFormat/>
    <w:uiPriority w:val="0"/>
    <w:rPr>
      <w:rFonts w:hint="default" w:ascii="Arial" w:hAnsi="Arial" w:eastAsia="宋体" w:cs="Arial"/>
      <w:sz w:val="18"/>
      <w:szCs w:val="18"/>
      <w:lang w:val="en-US" w:eastAsia="en-US" w:bidi="ar-SA"/>
    </w:rPr>
  </w:style>
  <w:style w:type="character" w:customStyle="1" w:styleId="249">
    <w:name w:val="批注框文本 Char Char Char"/>
    <w:semiHidden/>
    <w:qFormat/>
    <w:uiPriority w:val="0"/>
    <w:rPr>
      <w:sz w:val="18"/>
      <w:szCs w:val="18"/>
    </w:rPr>
  </w:style>
  <w:style w:type="character" w:customStyle="1" w:styleId="250">
    <w:name w:val="10"/>
    <w:qFormat/>
    <w:uiPriority w:val="0"/>
    <w:rPr>
      <w:rFonts w:hint="default" w:ascii="Times New Roman" w:hAnsi="Times New Roman" w:cs="Times New Roman"/>
    </w:rPr>
  </w:style>
  <w:style w:type="character" w:customStyle="1" w:styleId="251">
    <w:name w:val="font161"/>
    <w:qFormat/>
    <w:uiPriority w:val="0"/>
    <w:rPr>
      <w:b/>
      <w:bCs/>
      <w:sz w:val="32"/>
      <w:szCs w:val="32"/>
    </w:rPr>
  </w:style>
  <w:style w:type="character" w:customStyle="1" w:styleId="252">
    <w:name w:val="不明显强调1"/>
    <w:qFormat/>
    <w:uiPriority w:val="0"/>
    <w:rPr>
      <w:i/>
      <w:iCs/>
      <w:color w:val="808080"/>
    </w:rPr>
  </w:style>
  <w:style w:type="character" w:customStyle="1" w:styleId="253">
    <w:name w:val="书籍标题1"/>
    <w:qFormat/>
    <w:uiPriority w:val="0"/>
    <w:rPr>
      <w:b/>
      <w:bCs/>
      <w:smallCaps/>
      <w:spacing w:val="5"/>
    </w:rPr>
  </w:style>
  <w:style w:type="character" w:customStyle="1" w:styleId="254">
    <w:name w:val="title11"/>
    <w:qFormat/>
    <w:uiPriority w:val="0"/>
    <w:rPr>
      <w:b/>
      <w:bCs/>
      <w:color w:val="FFFFFF"/>
      <w:sz w:val="11"/>
      <w:szCs w:val="11"/>
    </w:rPr>
  </w:style>
  <w:style w:type="character" w:customStyle="1" w:styleId="255">
    <w:name w:val="intel3"/>
    <w:basedOn w:val="54"/>
    <w:qFormat/>
    <w:uiPriority w:val="0"/>
  </w:style>
  <w:style w:type="character" w:customStyle="1" w:styleId="256">
    <w:name w:val="l1"/>
    <w:basedOn w:val="54"/>
    <w:qFormat/>
    <w:uiPriority w:val="0"/>
  </w:style>
  <w:style w:type="character" w:customStyle="1" w:styleId="257">
    <w:name w:val="0d1471"/>
    <w:qFormat/>
    <w:uiPriority w:val="0"/>
    <w:rPr>
      <w:color w:val="000000"/>
      <w:sz w:val="11"/>
      <w:szCs w:val="11"/>
      <w:u w:val="none"/>
    </w:rPr>
  </w:style>
  <w:style w:type="character" w:customStyle="1" w:styleId="258">
    <w:name w:val="尾注文本 Char1"/>
    <w:basedOn w:val="54"/>
    <w:qFormat/>
    <w:uiPriority w:val="0"/>
    <w:rPr>
      <w:rFonts w:hint="default" w:ascii="Times New Roman" w:hAnsi="Times New Roman" w:eastAsia="宋体" w:cs="Times New Roman"/>
      <w:szCs w:val="24"/>
    </w:rPr>
  </w:style>
  <w:style w:type="character" w:customStyle="1" w:styleId="259">
    <w:name w:val="明显强调1"/>
    <w:qFormat/>
    <w:uiPriority w:val="0"/>
    <w:rPr>
      <w:b/>
      <w:bCs/>
      <w:i/>
      <w:iCs/>
      <w:color w:val="4F81BD"/>
    </w:rPr>
  </w:style>
  <w:style w:type="character" w:customStyle="1" w:styleId="260">
    <w:name w:val="不明显强调2"/>
    <w:qFormat/>
    <w:uiPriority w:val="0"/>
    <w:rPr>
      <w:i/>
      <w:iCs/>
      <w:color w:val="808080"/>
    </w:rPr>
  </w:style>
  <w:style w:type="character" w:customStyle="1" w:styleId="261">
    <w:name w:val="标题 Char1"/>
    <w:basedOn w:val="54"/>
    <w:qFormat/>
    <w:uiPriority w:val="0"/>
    <w:rPr>
      <w:rFonts w:hint="default" w:ascii="Cambria" w:hAnsi="Cambria" w:eastAsia="宋体" w:cs="黑体"/>
      <w:b/>
      <w:bCs/>
      <w:sz w:val="32"/>
      <w:szCs w:val="32"/>
    </w:rPr>
  </w:style>
  <w:style w:type="character" w:customStyle="1" w:styleId="262">
    <w:name w:val="不明显参考2"/>
    <w:qFormat/>
    <w:uiPriority w:val="0"/>
    <w:rPr>
      <w:smallCaps/>
      <w:color w:val="C0504D"/>
      <w:u w:val="single"/>
    </w:rPr>
  </w:style>
  <w:style w:type="character" w:customStyle="1" w:styleId="263">
    <w:name w:val="明显参考1"/>
    <w:qFormat/>
    <w:uiPriority w:val="0"/>
    <w:rPr>
      <w:b/>
      <w:bCs/>
      <w:smallCaps/>
      <w:color w:val="C0504D"/>
      <w:spacing w:val="5"/>
      <w:u w:val="single"/>
    </w:rPr>
  </w:style>
  <w:style w:type="character" w:customStyle="1" w:styleId="264">
    <w:name w:val="docpro"/>
    <w:basedOn w:val="54"/>
    <w:qFormat/>
    <w:uiPriority w:val="0"/>
  </w:style>
  <w:style w:type="character" w:customStyle="1" w:styleId="265">
    <w:name w:val="书籍标题11"/>
    <w:qFormat/>
    <w:uiPriority w:val="0"/>
    <w:rPr>
      <w:b/>
      <w:bCs/>
      <w:smallCaps/>
      <w:spacing w:val="5"/>
    </w:rPr>
  </w:style>
  <w:style w:type="character" w:customStyle="1" w:styleId="266">
    <w:name w:val="style31"/>
    <w:qFormat/>
    <w:uiPriority w:val="0"/>
    <w:rPr>
      <w:sz w:val="10"/>
      <w:szCs w:val="10"/>
    </w:rPr>
  </w:style>
  <w:style w:type="character" w:customStyle="1" w:styleId="267">
    <w:name w:val="14t1"/>
    <w:qFormat/>
    <w:uiPriority w:val="0"/>
    <w:rPr>
      <w:rFonts w:hint="eastAsia" w:ascii="宋体" w:hAnsi="宋体" w:eastAsia="宋体"/>
      <w:sz w:val="11"/>
      <w:szCs w:val="11"/>
    </w:rPr>
  </w:style>
  <w:style w:type="character" w:customStyle="1" w:styleId="268">
    <w:name w:val="main_tdbg_7601"/>
    <w:qFormat/>
    <w:uiPriority w:val="0"/>
    <w:rPr>
      <w:sz w:val="14"/>
      <w:szCs w:val="14"/>
    </w:rPr>
  </w:style>
  <w:style w:type="character" w:customStyle="1" w:styleId="269">
    <w:name w:val="副标题 Char1"/>
    <w:basedOn w:val="54"/>
    <w:qFormat/>
    <w:uiPriority w:val="0"/>
    <w:rPr>
      <w:rFonts w:hint="default" w:ascii="Cambria" w:hAnsi="Cambria" w:eastAsia="宋体" w:cs="黑体"/>
      <w:b/>
      <w:bCs/>
      <w:kern w:val="28"/>
      <w:sz w:val="32"/>
      <w:szCs w:val="32"/>
    </w:rPr>
  </w:style>
  <w:style w:type="character" w:customStyle="1" w:styleId="270">
    <w:name w:val="明显强调2"/>
    <w:qFormat/>
    <w:uiPriority w:val="0"/>
    <w:rPr>
      <w:b/>
      <w:bCs/>
      <w:i/>
      <w:iCs/>
      <w:color w:val="4F81BD"/>
    </w:rPr>
  </w:style>
  <w:style w:type="character" w:customStyle="1" w:styleId="271">
    <w:name w:val="标题 3 Char1"/>
    <w:qFormat/>
    <w:uiPriority w:val="0"/>
    <w:rPr>
      <w:b/>
      <w:bCs/>
      <w:kern w:val="2"/>
      <w:sz w:val="32"/>
      <w:szCs w:val="32"/>
    </w:rPr>
  </w:style>
  <w:style w:type="character" w:customStyle="1" w:styleId="272">
    <w:name w:val="明显参考3"/>
    <w:qFormat/>
    <w:uiPriority w:val="0"/>
    <w:rPr>
      <w:b/>
      <w:bCs/>
      <w:smallCaps/>
      <w:color w:val="C0504D"/>
      <w:spacing w:val="5"/>
      <w:u w:val="single"/>
    </w:rPr>
  </w:style>
  <w:style w:type="character" w:customStyle="1" w:styleId="273">
    <w:name w:val="style121"/>
    <w:qFormat/>
    <w:uiPriority w:val="0"/>
    <w:rPr>
      <w:rFonts w:hint="eastAsia" w:ascii="宋体" w:hAnsi="宋体" w:eastAsia="宋体"/>
      <w:sz w:val="18"/>
      <w:szCs w:val="18"/>
    </w:rPr>
  </w:style>
  <w:style w:type="character" w:customStyle="1" w:styleId="274">
    <w:name w:val="页码1"/>
    <w:basedOn w:val="54"/>
    <w:qFormat/>
    <w:uiPriority w:val="0"/>
  </w:style>
  <w:style w:type="character" w:customStyle="1" w:styleId="275">
    <w:name w:val="不明显参考1"/>
    <w:qFormat/>
    <w:uiPriority w:val="0"/>
    <w:rPr>
      <w:smallCaps/>
      <w:color w:val="C0504D"/>
      <w:u w:val="single"/>
    </w:rPr>
  </w:style>
  <w:style w:type="character" w:customStyle="1" w:styleId="276">
    <w:name w:val="文档结构图 Char3"/>
    <w:basedOn w:val="54"/>
    <w:qFormat/>
    <w:uiPriority w:val="0"/>
    <w:rPr>
      <w:rFonts w:hint="eastAsia" w:ascii="宋体" w:hAnsi="宋体" w:eastAsia="宋体"/>
      <w:kern w:val="2"/>
      <w:sz w:val="18"/>
      <w:szCs w:val="18"/>
    </w:rPr>
  </w:style>
  <w:style w:type="character" w:customStyle="1" w:styleId="277">
    <w:name w:val="style21"/>
    <w:qFormat/>
    <w:uiPriority w:val="0"/>
    <w:rPr>
      <w:b/>
      <w:bCs/>
      <w:sz w:val="28"/>
      <w:szCs w:val="28"/>
    </w:rPr>
  </w:style>
  <w:style w:type="character" w:customStyle="1" w:styleId="278">
    <w:name w:val="正文文本 Char1"/>
    <w:qFormat/>
    <w:uiPriority w:val="0"/>
    <w:rPr>
      <w:kern w:val="2"/>
      <w:sz w:val="21"/>
      <w:szCs w:val="22"/>
    </w:rPr>
  </w:style>
  <w:style w:type="character" w:customStyle="1" w:styleId="279">
    <w:name w:val="引用 Char3"/>
    <w:basedOn w:val="54"/>
    <w:semiHidden/>
    <w:qFormat/>
    <w:uiPriority w:val="99"/>
    <w:rPr>
      <w:i/>
      <w:iCs/>
      <w:color w:val="000000"/>
      <w:kern w:val="2"/>
      <w:sz w:val="21"/>
      <w:szCs w:val="24"/>
    </w:rPr>
  </w:style>
  <w:style w:type="character" w:customStyle="1" w:styleId="280">
    <w:name w:val="正文文本 Char2"/>
    <w:basedOn w:val="54"/>
    <w:qFormat/>
    <w:uiPriority w:val="0"/>
    <w:rPr>
      <w:rFonts w:hint="default" w:ascii="Times New Roman" w:hAnsi="Times New Roman" w:eastAsia="宋体" w:cs="Times New Roman"/>
      <w:szCs w:val="24"/>
    </w:rPr>
  </w:style>
  <w:style w:type="character" w:customStyle="1" w:styleId="281">
    <w:name w:val="unnamed1"/>
    <w:basedOn w:val="54"/>
    <w:qFormat/>
    <w:uiPriority w:val="0"/>
  </w:style>
  <w:style w:type="character" w:customStyle="1" w:styleId="282">
    <w:name w:val="批注文字 Char Char"/>
    <w:qFormat/>
    <w:uiPriority w:val="0"/>
    <w:rPr>
      <w:rFonts w:hint="eastAsia" w:ascii="宋体" w:hAnsi="Times New Roman" w:eastAsia="宋体" w:cs="Times New Roman"/>
      <w:sz w:val="28"/>
      <w:szCs w:val="20"/>
    </w:rPr>
  </w:style>
  <w:style w:type="character" w:customStyle="1" w:styleId="283">
    <w:name w:val="批注引用1"/>
    <w:qFormat/>
    <w:uiPriority w:val="0"/>
    <w:rPr>
      <w:sz w:val="21"/>
      <w:szCs w:val="21"/>
    </w:rPr>
  </w:style>
  <w:style w:type="character" w:customStyle="1" w:styleId="284">
    <w:name w:val="脚注文本 Char1"/>
    <w:basedOn w:val="54"/>
    <w:qFormat/>
    <w:uiPriority w:val="0"/>
    <w:rPr>
      <w:rFonts w:hint="default" w:ascii="Times New Roman" w:hAnsi="Times New Roman" w:cs="Times New Roman"/>
      <w:sz w:val="18"/>
      <w:szCs w:val="18"/>
    </w:rPr>
  </w:style>
  <w:style w:type="character" w:customStyle="1" w:styleId="285">
    <w:name w:val="批注框文本 Char1"/>
    <w:qFormat/>
    <w:uiPriority w:val="0"/>
    <w:rPr>
      <w:kern w:val="2"/>
      <w:sz w:val="18"/>
      <w:szCs w:val="18"/>
    </w:rPr>
  </w:style>
  <w:style w:type="character" w:customStyle="1" w:styleId="286">
    <w:name w:val="不明显强调21"/>
    <w:qFormat/>
    <w:uiPriority w:val="0"/>
    <w:rPr>
      <w:i/>
      <w:iCs/>
      <w:color w:val="808080"/>
    </w:rPr>
  </w:style>
  <w:style w:type="character" w:customStyle="1" w:styleId="287">
    <w:name w:val="明显引用 Char3"/>
    <w:basedOn w:val="54"/>
    <w:semiHidden/>
    <w:qFormat/>
    <w:uiPriority w:val="99"/>
    <w:rPr>
      <w:b/>
      <w:bCs/>
      <w:i/>
      <w:iCs/>
      <w:color w:val="4F81BD"/>
      <w:kern w:val="2"/>
      <w:sz w:val="21"/>
      <w:szCs w:val="24"/>
    </w:rPr>
  </w:style>
  <w:style w:type="character" w:customStyle="1" w:styleId="288">
    <w:name w:val="normaltext1"/>
    <w:qFormat/>
    <w:uiPriority w:val="0"/>
    <w:rPr>
      <w:rFonts w:hint="default" w:ascii="ˎ̥" w:hAnsi="ˎ̥"/>
      <w:sz w:val="9"/>
      <w:szCs w:val="9"/>
    </w:rPr>
  </w:style>
  <w:style w:type="character" w:customStyle="1" w:styleId="289">
    <w:name w:val="ss16"/>
    <w:qFormat/>
    <w:uiPriority w:val="0"/>
    <w:rPr>
      <w:rFonts w:hint="eastAsia" w:ascii="宋体" w:hAnsi="宋体" w:eastAsia="宋体"/>
      <w:color w:val="000000"/>
      <w:sz w:val="9"/>
      <w:szCs w:val="9"/>
    </w:rPr>
  </w:style>
  <w:style w:type="character" w:customStyle="1" w:styleId="290">
    <w:name w:val="明显强调21"/>
    <w:qFormat/>
    <w:uiPriority w:val="0"/>
    <w:rPr>
      <w:b/>
      <w:bCs/>
      <w:i/>
      <w:iCs/>
      <w:color w:val="4F81BD"/>
    </w:rPr>
  </w:style>
  <w:style w:type="character" w:customStyle="1" w:styleId="291">
    <w:name w:val="批注主题 Char3"/>
    <w:basedOn w:val="184"/>
    <w:qFormat/>
    <w:uiPriority w:val="0"/>
    <w:rPr>
      <w:rFonts w:ascii="Times New Roman" w:hAnsi="Times New Roman" w:eastAsia="宋体" w:cs="Times New Roman"/>
      <w:b/>
      <w:bCs/>
      <w:szCs w:val="24"/>
    </w:rPr>
  </w:style>
  <w:style w:type="character" w:customStyle="1" w:styleId="292">
    <w:name w:val="style161"/>
    <w:qFormat/>
    <w:uiPriority w:val="0"/>
    <w:rPr>
      <w:b/>
      <w:bCs/>
      <w:color w:val="333333"/>
    </w:rPr>
  </w:style>
  <w:style w:type="character" w:customStyle="1" w:styleId="293">
    <w:name w:val="不明显参考11"/>
    <w:qFormat/>
    <w:uiPriority w:val="0"/>
    <w:rPr>
      <w:smallCaps/>
      <w:color w:val="C0504D"/>
      <w:u w:val="single"/>
    </w:rPr>
  </w:style>
  <w:style w:type="character" w:customStyle="1" w:styleId="294">
    <w:name w:val="bjh-p"/>
    <w:qFormat/>
    <w:uiPriority w:val="0"/>
  </w:style>
  <w:style w:type="character" w:customStyle="1" w:styleId="295">
    <w:name w:val="批注框文本 Char3"/>
    <w:basedOn w:val="54"/>
    <w:qFormat/>
    <w:uiPriority w:val="0"/>
    <w:rPr>
      <w:kern w:val="2"/>
      <w:sz w:val="18"/>
      <w:szCs w:val="18"/>
    </w:rPr>
  </w:style>
  <w:style w:type="character" w:customStyle="1" w:styleId="296">
    <w:name w:val="脚注文本 Char2"/>
    <w:basedOn w:val="54"/>
    <w:semiHidden/>
    <w:qFormat/>
    <w:locked/>
    <w:uiPriority w:val="0"/>
    <w:rPr>
      <w:rFonts w:ascii="Times New Roman" w:hAnsi="Times New Roman" w:eastAsia="宋体" w:cs="Times New Roman"/>
      <w:kern w:val="0"/>
      <w:sz w:val="18"/>
      <w:szCs w:val="18"/>
    </w:rPr>
  </w:style>
  <w:style w:type="character" w:customStyle="1" w:styleId="297">
    <w:name w:val="文档结构图 Char4"/>
    <w:basedOn w:val="54"/>
    <w:semiHidden/>
    <w:qFormat/>
    <w:locked/>
    <w:uiPriority w:val="0"/>
    <w:rPr>
      <w:rFonts w:ascii="Calibri" w:hAnsi="Calibri" w:eastAsia="宋体" w:cs="Times New Roman"/>
      <w:kern w:val="0"/>
      <w:sz w:val="20"/>
      <w:szCs w:val="24"/>
      <w:shd w:val="clear" w:color="auto" w:fill="000080"/>
    </w:rPr>
  </w:style>
  <w:style w:type="character" w:customStyle="1" w:styleId="298">
    <w:name w:val="引用 Char4"/>
    <w:basedOn w:val="54"/>
    <w:link w:val="144"/>
    <w:qFormat/>
    <w:locked/>
    <w:uiPriority w:val="0"/>
    <w:rPr>
      <w:rFonts w:ascii="Calibri" w:hAnsi="Calibri" w:eastAsia="宋体" w:cs="Times New Roman"/>
      <w:i/>
      <w:iCs/>
      <w:color w:val="000000"/>
      <w:kern w:val="0"/>
      <w:sz w:val="20"/>
      <w:szCs w:val="20"/>
    </w:rPr>
  </w:style>
  <w:style w:type="character" w:customStyle="1" w:styleId="299">
    <w:name w:val="明显引用 Char4"/>
    <w:basedOn w:val="54"/>
    <w:link w:val="147"/>
    <w:qFormat/>
    <w:locked/>
    <w:uiPriority w:val="0"/>
    <w:rPr>
      <w:rFonts w:ascii="Calibri" w:hAnsi="Calibri" w:eastAsia="宋体" w:cs="Times New Roman"/>
      <w:b/>
      <w:bCs/>
      <w:i/>
      <w:iCs/>
      <w:color w:val="4F81BD"/>
      <w:kern w:val="0"/>
      <w:sz w:val="20"/>
      <w:szCs w:val="20"/>
    </w:rPr>
  </w:style>
  <w:style w:type="paragraph" w:customStyle="1" w:styleId="300">
    <w:name w:val="表格标题"/>
    <w:basedOn w:val="196"/>
    <w:qFormat/>
    <w:uiPriority w:val="0"/>
  </w:style>
  <w:style w:type="paragraph" w:customStyle="1" w:styleId="301">
    <w:name w:val="WW-表格标题"/>
    <w:basedOn w:val="208"/>
    <w:qFormat/>
    <w:uiPriority w:val="0"/>
  </w:style>
  <w:style w:type="character" w:customStyle="1" w:styleId="302">
    <w:name w:val="msointensereference"/>
    <w:qFormat/>
    <w:uiPriority w:val="0"/>
    <w:rPr>
      <w:rFonts w:ascii="Times New Roman" w:hAnsi="Times New Roman" w:eastAsia="宋体" w:cs="Times New Roman"/>
      <w:b/>
      <w:smallCaps/>
      <w:color w:val="C0504D"/>
      <w:spacing w:val="5"/>
      <w:u w:val="single"/>
    </w:rPr>
  </w:style>
  <w:style w:type="character" w:customStyle="1" w:styleId="303">
    <w:name w:val="引用 Char Char Char"/>
    <w:qFormat/>
    <w:uiPriority w:val="0"/>
    <w:rPr>
      <w:rFonts w:ascii="Times New Roman" w:hAnsi="Times New Roman" w:eastAsia="宋体" w:cs="Times New Roman"/>
      <w:i/>
      <w:iCs/>
      <w:color w:val="000000"/>
      <w:kern w:val="2"/>
      <w:sz w:val="21"/>
      <w:szCs w:val="22"/>
      <w:lang w:bidi="ar-SA"/>
    </w:rPr>
  </w:style>
  <w:style w:type="character" w:customStyle="1" w:styleId="304">
    <w:name w:val="defaultfont1"/>
    <w:qFormat/>
    <w:uiPriority w:val="0"/>
    <w:rPr>
      <w:rFonts w:ascii="Times New Roman" w:hAnsi="Times New Roman" w:eastAsia="宋体" w:cs="Times New Roman"/>
    </w:rPr>
  </w:style>
  <w:style w:type="character" w:customStyle="1" w:styleId="305">
    <w:name w:val="ca-51"/>
    <w:qFormat/>
    <w:uiPriority w:val="0"/>
    <w:rPr>
      <w:rFonts w:hint="eastAsia" w:ascii="宋体" w:hAnsi="宋体" w:eastAsia="宋体" w:cs="Times New Roman"/>
      <w:b/>
      <w:color w:val="000000"/>
      <w:spacing w:val="-20"/>
      <w:sz w:val="16"/>
    </w:rPr>
  </w:style>
  <w:style w:type="character" w:customStyle="1" w:styleId="306">
    <w:name w:val="Char Char4"/>
    <w:qFormat/>
    <w:uiPriority w:val="0"/>
    <w:rPr>
      <w:rFonts w:ascii="Times New Roman" w:hAnsi="Times New Roman" w:eastAsia="宋体" w:cs="Times New Roman"/>
      <w:szCs w:val="24"/>
      <w:u w:val="single"/>
      <w:lang w:eastAsia="en-US"/>
    </w:rPr>
  </w:style>
  <w:style w:type="character" w:customStyle="1" w:styleId="307">
    <w:name w:val="招标正文 Char Char"/>
    <w:link w:val="140"/>
    <w:qFormat/>
    <w:uiPriority w:val="0"/>
    <w:rPr>
      <w:rFonts w:ascii="宋体" w:hAnsi="宋体" w:cs="宋体"/>
    </w:rPr>
  </w:style>
  <w:style w:type="character" w:customStyle="1" w:styleId="308">
    <w:name w:val="不明显参考3"/>
    <w:qFormat/>
    <w:uiPriority w:val="0"/>
    <w:rPr>
      <w:smallCaps/>
      <w:color w:val="C0504D"/>
      <w:u w:val="single"/>
    </w:rPr>
  </w:style>
  <w:style w:type="character" w:customStyle="1" w:styleId="309">
    <w:name w:val="书籍标题3"/>
    <w:qFormat/>
    <w:uiPriority w:val="0"/>
    <w:rPr>
      <w:b/>
      <w:bCs/>
      <w:smallCaps/>
      <w:spacing w:val="5"/>
    </w:rPr>
  </w:style>
  <w:style w:type="character" w:customStyle="1" w:styleId="310">
    <w:name w:val="msobooktitle"/>
    <w:qFormat/>
    <w:uiPriority w:val="0"/>
    <w:rPr>
      <w:rFonts w:ascii="Times New Roman" w:hAnsi="Times New Roman" w:eastAsia="宋体" w:cs="Times New Roman"/>
      <w:b/>
      <w:smallCaps/>
      <w:spacing w:val="5"/>
    </w:rPr>
  </w:style>
  <w:style w:type="character" w:customStyle="1" w:styleId="311">
    <w:name w:val="普通文字 Char Char1"/>
    <w:qFormat/>
    <w:uiPriority w:val="0"/>
    <w:rPr>
      <w:rFonts w:ascii="宋体" w:hAnsi="Courier New"/>
      <w:kern w:val="2"/>
      <w:sz w:val="21"/>
    </w:rPr>
  </w:style>
  <w:style w:type="character" w:customStyle="1" w:styleId="312">
    <w:name w:val="bar_info2"/>
    <w:qFormat/>
    <w:uiPriority w:val="0"/>
    <w:rPr>
      <w:rFonts w:hint="default" w:ascii="Times New Roman" w:hAnsi="Times New Roman" w:eastAsia="宋体" w:cs="Times New Roman"/>
    </w:rPr>
  </w:style>
  <w:style w:type="character" w:customStyle="1" w:styleId="313">
    <w:name w:val="Char Char24"/>
    <w:qFormat/>
    <w:uiPriority w:val="0"/>
    <w:rPr>
      <w:rFonts w:ascii="Times New Roman" w:hAnsi="Times New Roman" w:eastAsia="宋体" w:cs="Times New Roman"/>
      <w:b/>
      <w:kern w:val="44"/>
      <w:sz w:val="44"/>
    </w:rPr>
  </w:style>
  <w:style w:type="character" w:customStyle="1" w:styleId="314">
    <w:name w:val="Comment Text Char"/>
    <w:qFormat/>
    <w:uiPriority w:val="0"/>
    <w:rPr>
      <w:rFonts w:hint="eastAsia" w:ascii="宋体" w:hAnsi="宋体" w:eastAsia="宋体" w:cs="Times New Roman"/>
      <w:sz w:val="24"/>
      <w:lang w:val="en-US" w:eastAsia="zh-CN"/>
    </w:rPr>
  </w:style>
  <w:style w:type="character" w:customStyle="1" w:styleId="315">
    <w:name w:val="Footer Char"/>
    <w:qFormat/>
    <w:uiPriority w:val="0"/>
    <w:rPr>
      <w:rFonts w:hint="eastAsia" w:ascii="宋体" w:hAnsi="宋体" w:eastAsia="宋体" w:cs="Times New Roman"/>
      <w:kern w:val="2"/>
      <w:sz w:val="18"/>
      <w:lang w:val="en-US" w:eastAsia="zh-CN"/>
    </w:rPr>
  </w:style>
  <w:style w:type="character" w:customStyle="1" w:styleId="316">
    <w:name w:val="明显强调3"/>
    <w:qFormat/>
    <w:uiPriority w:val="0"/>
    <w:rPr>
      <w:b/>
      <w:bCs/>
      <w:i/>
      <w:iCs/>
      <w:color w:val="4F81BD"/>
    </w:rPr>
  </w:style>
  <w:style w:type="character" w:customStyle="1" w:styleId="317">
    <w:name w:val="Header Char"/>
    <w:qFormat/>
    <w:uiPriority w:val="0"/>
    <w:rPr>
      <w:rFonts w:hint="eastAsia" w:ascii="宋体" w:hAnsi="宋体" w:eastAsia="宋体" w:cs="Times New Roman"/>
      <w:kern w:val="2"/>
      <w:sz w:val="18"/>
      <w:lang w:val="en-US" w:eastAsia="zh-CN"/>
    </w:rPr>
  </w:style>
  <w:style w:type="character" w:customStyle="1" w:styleId="318">
    <w:name w:val="普通文字 Char Char2"/>
    <w:qFormat/>
    <w:uiPriority w:val="0"/>
    <w:rPr>
      <w:rFonts w:ascii="宋体" w:hAnsi="Courier New" w:eastAsia="宋体" w:cs="Courier New"/>
      <w:kern w:val="2"/>
      <w:sz w:val="21"/>
      <w:szCs w:val="21"/>
      <w:lang w:val="en-US" w:eastAsia="zh-CN" w:bidi="ar-SA"/>
    </w:rPr>
  </w:style>
  <w:style w:type="character" w:customStyle="1" w:styleId="319">
    <w:name w:val="明显参考4"/>
    <w:qFormat/>
    <w:uiPriority w:val="0"/>
    <w:rPr>
      <w:b/>
      <w:bCs/>
      <w:smallCaps/>
      <w:color w:val="C0504D"/>
      <w:spacing w:val="5"/>
      <w:u w:val="single"/>
    </w:rPr>
  </w:style>
  <w:style w:type="character" w:customStyle="1" w:styleId="320">
    <w:name w:val="ca-151"/>
    <w:qFormat/>
    <w:uiPriority w:val="0"/>
    <w:rPr>
      <w:rFonts w:hint="default" w:ascii="Times New Roman" w:hAnsi="Times New Roman" w:eastAsia="宋体" w:cs="Times New Roman"/>
      <w:sz w:val="21"/>
    </w:rPr>
  </w:style>
  <w:style w:type="character" w:customStyle="1" w:styleId="321">
    <w:name w:val="Comment Subject Char"/>
    <w:qFormat/>
    <w:uiPriority w:val="0"/>
    <w:rPr>
      <w:rFonts w:hint="eastAsia" w:ascii="宋体" w:hAnsi="宋体" w:eastAsia="宋体" w:cs="Times New Roman"/>
      <w:b/>
      <w:kern w:val="2"/>
      <w:sz w:val="24"/>
      <w:lang w:val="en-US" w:eastAsia="zh-CN"/>
    </w:rPr>
  </w:style>
  <w:style w:type="character" w:customStyle="1" w:styleId="322">
    <w:name w:val="msosubtleemphasis"/>
    <w:qFormat/>
    <w:uiPriority w:val="0"/>
    <w:rPr>
      <w:rFonts w:ascii="Times New Roman" w:hAnsi="Times New Roman" w:eastAsia="宋体" w:cs="Times New Roman"/>
      <w:i/>
      <w:color w:val="808080"/>
    </w:rPr>
  </w:style>
  <w:style w:type="character" w:customStyle="1" w:styleId="323">
    <w:name w:val="Char Char29"/>
    <w:qFormat/>
    <w:uiPriority w:val="0"/>
    <w:rPr>
      <w:rFonts w:ascii="Times New Roman" w:hAnsi="Times New Roman" w:eastAsia="宋体" w:cs="Times New Roman"/>
      <w:b/>
      <w:bCs/>
      <w:kern w:val="44"/>
      <w:sz w:val="44"/>
      <w:szCs w:val="44"/>
    </w:rPr>
  </w:style>
  <w:style w:type="character" w:customStyle="1" w:styleId="324">
    <w:name w:val="Balloon Text Char"/>
    <w:qFormat/>
    <w:uiPriority w:val="0"/>
    <w:rPr>
      <w:rFonts w:hint="eastAsia" w:ascii="宋体" w:hAnsi="宋体" w:eastAsia="宋体" w:cs="Times New Roman"/>
      <w:kern w:val="2"/>
      <w:sz w:val="18"/>
      <w:lang w:val="en-US" w:eastAsia="zh-CN"/>
    </w:rPr>
  </w:style>
  <w:style w:type="character" w:customStyle="1" w:styleId="325">
    <w:name w:val="ca-610"/>
    <w:qFormat/>
    <w:uiPriority w:val="0"/>
    <w:rPr>
      <w:rFonts w:hint="eastAsia" w:ascii="宋体" w:hAnsi="宋体" w:eastAsia="宋体" w:cs="Times New Roman"/>
      <w:sz w:val="21"/>
    </w:rPr>
  </w:style>
  <w:style w:type="character" w:customStyle="1" w:styleId="326">
    <w:name w:val="Body Text Char"/>
    <w:qFormat/>
    <w:uiPriority w:val="0"/>
    <w:rPr>
      <w:rFonts w:hint="eastAsia" w:ascii="宋体" w:hAnsi="宋体" w:eastAsia="宋体" w:cs="Times New Roman"/>
      <w:kern w:val="2"/>
      <w:sz w:val="24"/>
      <w:lang w:val="en-US" w:eastAsia="zh-CN"/>
    </w:rPr>
  </w:style>
  <w:style w:type="character" w:customStyle="1" w:styleId="327">
    <w:name w:val="msosubtlereference"/>
    <w:qFormat/>
    <w:uiPriority w:val="0"/>
    <w:rPr>
      <w:rFonts w:ascii="Times New Roman" w:hAnsi="Times New Roman" w:eastAsia="宋体" w:cs="Times New Roman"/>
      <w:smallCaps/>
      <w:color w:val="C0504D"/>
      <w:u w:val="single"/>
    </w:rPr>
  </w:style>
  <w:style w:type="character" w:customStyle="1" w:styleId="328">
    <w:name w:val="spanleft"/>
    <w:qFormat/>
    <w:uiPriority w:val="0"/>
    <w:rPr>
      <w:rFonts w:ascii="Times New Roman" w:hAnsi="Times New Roman" w:eastAsia="宋体" w:cs="Times New Roman"/>
    </w:rPr>
  </w:style>
  <w:style w:type="character" w:customStyle="1" w:styleId="329">
    <w:name w:val="msointenseemphasis"/>
    <w:qFormat/>
    <w:uiPriority w:val="0"/>
    <w:rPr>
      <w:rFonts w:ascii="Times New Roman" w:hAnsi="Times New Roman" w:eastAsia="宋体" w:cs="Times New Roman"/>
      <w:b/>
      <w:i/>
      <w:color w:val="4F81BD"/>
    </w:rPr>
  </w:style>
  <w:style w:type="character" w:customStyle="1" w:styleId="330">
    <w:name w:val="Plain Text Char"/>
    <w:qFormat/>
    <w:uiPriority w:val="0"/>
    <w:rPr>
      <w:rFonts w:hint="eastAsia" w:ascii="宋体" w:hAnsi="Courier New" w:eastAsia="宋体" w:cs="Times New Roman"/>
      <w:kern w:val="2"/>
      <w:sz w:val="28"/>
      <w:lang w:val="en-US" w:eastAsia="zh-CN"/>
    </w:rPr>
  </w:style>
  <w:style w:type="character" w:customStyle="1" w:styleId="331">
    <w:name w:val="Footnote Text Char"/>
    <w:qFormat/>
    <w:uiPriority w:val="0"/>
    <w:rPr>
      <w:rFonts w:hint="eastAsia" w:ascii="宋体" w:hAnsi="宋体" w:eastAsia="宋体" w:cs="Times New Roman"/>
      <w:kern w:val="2"/>
      <w:sz w:val="18"/>
      <w:lang w:val="en-US" w:eastAsia="zh-CN"/>
    </w:rPr>
  </w:style>
  <w:style w:type="character" w:customStyle="1" w:styleId="332">
    <w:name w:val="明显引用 Char Char Char"/>
    <w:qFormat/>
    <w:uiPriority w:val="0"/>
    <w:rPr>
      <w:rFonts w:ascii="Times New Roman" w:hAnsi="Times New Roman" w:eastAsia="宋体" w:cs="Times New Roman"/>
      <w:b/>
      <w:bCs/>
      <w:i/>
      <w:iCs/>
      <w:color w:val="4F81BD"/>
      <w:kern w:val="2"/>
      <w:sz w:val="21"/>
      <w:szCs w:val="22"/>
      <w:lang w:bidi="ar-SA"/>
    </w:rPr>
  </w:style>
  <w:style w:type="character" w:customStyle="1" w:styleId="333">
    <w:name w:val="spanright"/>
    <w:qFormat/>
    <w:uiPriority w:val="0"/>
    <w:rPr>
      <w:rFonts w:ascii="Times New Roman" w:hAnsi="Times New Roman" w:eastAsia="宋体" w:cs="Times New Roman"/>
    </w:rPr>
  </w:style>
  <w:style w:type="character" w:customStyle="1" w:styleId="334">
    <w:name w:val="Char Char28"/>
    <w:qFormat/>
    <w:uiPriority w:val="0"/>
    <w:rPr>
      <w:rFonts w:ascii="Cambria" w:hAnsi="Cambria" w:eastAsia="宋体" w:cs="Times New Roman"/>
      <w:b/>
      <w:bCs/>
      <w:kern w:val="2"/>
      <w:sz w:val="32"/>
      <w:szCs w:val="32"/>
    </w:rPr>
  </w:style>
  <w:style w:type="character" w:customStyle="1" w:styleId="335">
    <w:name w:val="ca-181"/>
    <w:qFormat/>
    <w:uiPriority w:val="0"/>
    <w:rPr>
      <w:rFonts w:hint="eastAsia" w:ascii="宋体" w:hAnsi="宋体" w:eastAsia="宋体" w:cs="Times New Roman"/>
      <w:sz w:val="21"/>
    </w:rPr>
  </w:style>
  <w:style w:type="character" w:customStyle="1" w:styleId="336">
    <w:name w:val="不明显强调3"/>
    <w:qFormat/>
    <w:uiPriority w:val="0"/>
    <w:rPr>
      <w:i/>
      <w:iCs/>
      <w:color w:val="808080"/>
    </w:rPr>
  </w:style>
  <w:style w:type="paragraph" w:customStyle="1" w:styleId="337">
    <w:name w:val="Char1 Char Char Char Char Char Char1 Char Char Char"/>
    <w:basedOn w:val="1"/>
    <w:qFormat/>
    <w:uiPriority w:val="0"/>
    <w:pPr>
      <w:spacing w:line="360" w:lineRule="auto"/>
      <w:ind w:firstLine="200" w:firstLineChars="200"/>
    </w:pPr>
    <w:rPr>
      <w:rFonts w:ascii="宋体" w:hAnsi="宋体" w:cs="宋体"/>
      <w:sz w:val="24"/>
    </w:rPr>
  </w:style>
  <w:style w:type="paragraph" w:customStyle="1" w:styleId="338">
    <w:name w:val="_Style 80"/>
    <w:basedOn w:val="1"/>
    <w:next w:val="1"/>
    <w:qFormat/>
    <w:uiPriority w:val="0"/>
    <w:pPr>
      <w:pBdr>
        <w:bottom w:val="single" w:color="auto" w:sz="6" w:space="1"/>
      </w:pBdr>
      <w:jc w:val="center"/>
    </w:pPr>
    <w:rPr>
      <w:rFonts w:ascii="Arial" w:hAnsi="Calibri"/>
      <w:vanish/>
      <w:sz w:val="16"/>
      <w:szCs w:val="21"/>
    </w:rPr>
  </w:style>
  <w:style w:type="paragraph" w:customStyle="1" w:styleId="339">
    <w:name w:val="Char Char Char Char Char Char Char Char Char Char Char Char Char Char Char Char"/>
    <w:basedOn w:val="17"/>
    <w:qFormat/>
    <w:uiPriority w:val="0"/>
    <w:pPr>
      <w:spacing w:line="360" w:lineRule="auto"/>
      <w:ind w:firstLine="200" w:firstLineChars="200"/>
    </w:pPr>
    <w:rPr>
      <w:rFonts w:ascii="Times New Roman" w:hAnsi="Times New Roman" w:eastAsia="宋体"/>
      <w:sz w:val="18"/>
      <w:shd w:val="clear" w:color="auto" w:fill="000080"/>
      <w:lang w:val="zh-CN"/>
    </w:rPr>
  </w:style>
  <w:style w:type="paragraph" w:customStyle="1" w:styleId="340">
    <w:name w:val="附件标题-1"/>
    <w:basedOn w:val="1"/>
    <w:qFormat/>
    <w:uiPriority w:val="0"/>
    <w:pPr>
      <w:spacing w:beforeLines="50"/>
      <w:jc w:val="center"/>
    </w:pPr>
    <w:rPr>
      <w:rFonts w:ascii="Calibri" w:hAnsi="Calibri" w:eastAsia="黑体"/>
      <w:sz w:val="32"/>
    </w:rPr>
  </w:style>
  <w:style w:type="paragraph" w:customStyle="1" w:styleId="341">
    <w:name w:val="3 Char Char Char Char Char Char Char Char Char3 Char Char Char Char Char Char Char Char Char Char"/>
    <w:basedOn w:val="1"/>
    <w:qFormat/>
    <w:uiPriority w:val="0"/>
    <w:pPr>
      <w:snapToGrid w:val="0"/>
      <w:spacing w:line="360" w:lineRule="auto"/>
      <w:ind w:firstLine="200" w:firstLineChars="200"/>
    </w:pPr>
    <w:rPr>
      <w:rFonts w:ascii="Calibri" w:hAnsi="Calibri"/>
      <w:szCs w:val="21"/>
    </w:rPr>
  </w:style>
  <w:style w:type="paragraph" w:customStyle="1" w:styleId="342">
    <w:name w:val="Char2"/>
    <w:basedOn w:val="1"/>
    <w:qFormat/>
    <w:uiPriority w:val="0"/>
    <w:pPr>
      <w:snapToGrid w:val="0"/>
      <w:spacing w:line="360" w:lineRule="auto"/>
      <w:ind w:firstLine="200" w:firstLineChars="200"/>
    </w:pPr>
    <w:rPr>
      <w:rFonts w:ascii="Calibri" w:hAnsi="Calibri"/>
    </w:rPr>
  </w:style>
  <w:style w:type="paragraph" w:customStyle="1" w:styleId="343">
    <w:name w:val="列出段落2"/>
    <w:basedOn w:val="1"/>
    <w:qFormat/>
    <w:uiPriority w:val="0"/>
    <w:pPr>
      <w:ind w:firstLine="420" w:firstLineChars="200"/>
    </w:pPr>
    <w:rPr>
      <w:rFonts w:ascii="Calibri" w:hAnsi="Calibri"/>
      <w:sz w:val="28"/>
      <w:szCs w:val="28"/>
    </w:rPr>
  </w:style>
  <w:style w:type="paragraph" w:customStyle="1" w:styleId="344">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45">
    <w:name w:val="Char1"/>
    <w:basedOn w:val="17"/>
    <w:qFormat/>
    <w:uiPriority w:val="0"/>
    <w:pPr>
      <w:adjustRightInd w:val="0"/>
      <w:spacing w:line="436" w:lineRule="exact"/>
      <w:ind w:left="357"/>
      <w:jc w:val="left"/>
      <w:outlineLvl w:val="3"/>
    </w:pPr>
    <w:rPr>
      <w:rFonts w:ascii="Tahoma" w:hAnsi="Tahoma" w:eastAsia="宋体" w:cs="Tahoma"/>
      <w:b/>
      <w:bCs/>
      <w:sz w:val="24"/>
      <w:lang w:val="zh-CN"/>
    </w:rPr>
  </w:style>
  <w:style w:type="paragraph" w:customStyle="1" w:styleId="346">
    <w:name w:val="TOC 标题4"/>
    <w:basedOn w:val="3"/>
    <w:next w:val="1"/>
    <w:qFormat/>
    <w:uiPriority w:val="0"/>
    <w:pPr>
      <w:outlineLvl w:val="9"/>
    </w:pPr>
    <w:rPr>
      <w:rFonts w:ascii="Calibri" w:hAnsi="Calibri"/>
    </w:rPr>
  </w:style>
  <w:style w:type="paragraph" w:customStyle="1" w:styleId="347">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列出段落3"/>
    <w:basedOn w:val="1"/>
    <w:qFormat/>
    <w:uiPriority w:val="0"/>
    <w:pPr>
      <w:ind w:firstLine="420" w:firstLineChars="200"/>
    </w:pPr>
    <w:rPr>
      <w:rFonts w:ascii="Calibri" w:hAnsi="Calibri"/>
      <w:szCs w:val="22"/>
    </w:rPr>
  </w:style>
  <w:style w:type="paragraph" w:customStyle="1" w:styleId="349">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350">
    <w:name w:val="_Style 71"/>
    <w:basedOn w:val="1"/>
    <w:next w:val="1"/>
    <w:qFormat/>
    <w:uiPriority w:val="0"/>
    <w:pPr>
      <w:pBdr>
        <w:top w:val="single" w:color="auto" w:sz="6" w:space="1"/>
      </w:pBdr>
      <w:jc w:val="center"/>
    </w:pPr>
    <w:rPr>
      <w:rFonts w:ascii="Arial" w:hAnsi="Calibri"/>
      <w:vanish/>
      <w:sz w:val="16"/>
      <w:szCs w:val="21"/>
    </w:rPr>
  </w:style>
  <w:style w:type="paragraph" w:customStyle="1" w:styleId="351">
    <w:name w:val="Char Char Char Char Char Char Char Char Char1"/>
    <w:basedOn w:val="1"/>
    <w:qFormat/>
    <w:uiPriority w:val="0"/>
    <w:rPr>
      <w:rFonts w:ascii="Calibri" w:hAnsi="Calibri"/>
    </w:rPr>
  </w:style>
  <w:style w:type="paragraph" w:customStyle="1" w:styleId="352">
    <w:name w:val="修订3"/>
    <w:qFormat/>
    <w:uiPriority w:val="0"/>
    <w:rPr>
      <w:rFonts w:ascii="Calibri" w:hAnsi="Calibri" w:eastAsia="宋体" w:cs="Times New Roman"/>
      <w:kern w:val="2"/>
      <w:sz w:val="21"/>
      <w:szCs w:val="24"/>
      <w:lang w:val="en-US" w:eastAsia="zh-CN" w:bidi="ar-SA"/>
    </w:rPr>
  </w:style>
  <w:style w:type="paragraph" w:customStyle="1" w:styleId="353">
    <w:name w:val="Char Char1 Char Char Char Char Char Char Char"/>
    <w:basedOn w:val="1"/>
    <w:qFormat/>
    <w:uiPriority w:val="0"/>
    <w:pPr>
      <w:pageBreakBefore/>
    </w:pPr>
    <w:rPr>
      <w:rFonts w:ascii="宋体" w:hAnsi="Calibri" w:eastAsia="仿宋_GB2312" w:cs="宋体"/>
      <w:sz w:val="28"/>
      <w:szCs w:val="28"/>
    </w:rPr>
  </w:style>
  <w:style w:type="paragraph" w:customStyle="1" w:styleId="354">
    <w:name w:val="列出段落11"/>
    <w:basedOn w:val="1"/>
    <w:qFormat/>
    <w:uiPriority w:val="0"/>
    <w:pPr>
      <w:ind w:firstLine="420" w:firstLineChars="200"/>
    </w:pPr>
    <w:rPr>
      <w:rFonts w:ascii="Calibri" w:hAnsi="Calibri"/>
      <w:szCs w:val="21"/>
    </w:rPr>
  </w:style>
  <w:style w:type="paragraph" w:customStyle="1" w:styleId="355">
    <w:name w:val="目录文字"/>
    <w:basedOn w:val="1"/>
    <w:qFormat/>
    <w:uiPriority w:val="0"/>
    <w:pPr>
      <w:widowControl/>
      <w:spacing w:line="480" w:lineRule="auto"/>
      <w:jc w:val="left"/>
    </w:pPr>
    <w:rPr>
      <w:rFonts w:ascii="宋体" w:hAnsi="宋体" w:cs="宋体"/>
      <w:kern w:val="0"/>
      <w:sz w:val="24"/>
    </w:rPr>
  </w:style>
  <w:style w:type="paragraph" w:customStyle="1" w:styleId="356">
    <w:name w:val="Char Char9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8">
    <w:name w:val="Char Char Char Char Char Char"/>
    <w:basedOn w:val="1"/>
    <w:qFormat/>
    <w:uiPriority w:val="0"/>
    <w:rPr>
      <w:rFonts w:ascii="Calibri" w:hAnsi="Calibri"/>
    </w:rPr>
  </w:style>
  <w:style w:type="paragraph" w:customStyle="1" w:styleId="359">
    <w:name w:val="Char Char Char"/>
    <w:basedOn w:val="1"/>
    <w:qFormat/>
    <w:uiPriority w:val="0"/>
    <w:rPr>
      <w:rFonts w:ascii="Calibri" w:hAnsi="Calibri"/>
    </w:rPr>
  </w:style>
  <w:style w:type="paragraph" w:customStyle="1" w:styleId="360">
    <w:name w:val="样式4"/>
    <w:basedOn w:val="1"/>
    <w:link w:val="361"/>
    <w:qFormat/>
    <w:uiPriority w:val="0"/>
    <w:pPr>
      <w:spacing w:line="460" w:lineRule="exact"/>
      <w:ind w:firstLine="480" w:firstLineChars="200"/>
    </w:pPr>
    <w:rPr>
      <w:rFonts w:ascii="宋体" w:hAnsi="宋体"/>
      <w:kern w:val="0"/>
      <w:sz w:val="24"/>
    </w:rPr>
  </w:style>
  <w:style w:type="character" w:customStyle="1" w:styleId="361">
    <w:name w:val="样式4 Char"/>
    <w:basedOn w:val="54"/>
    <w:link w:val="360"/>
    <w:qFormat/>
    <w:uiPriority w:val="0"/>
    <w:rPr>
      <w:rFonts w:ascii="宋体" w:hAnsi="宋体"/>
      <w:sz w:val="24"/>
      <w:szCs w:val="24"/>
    </w:rPr>
  </w:style>
  <w:style w:type="character" w:customStyle="1" w:styleId="362">
    <w:name w:val="明显强调4"/>
    <w:qFormat/>
    <w:uiPriority w:val="0"/>
    <w:rPr>
      <w:b/>
      <w:bCs/>
      <w:i/>
      <w:iCs/>
      <w:color w:val="4F81BD"/>
    </w:rPr>
  </w:style>
  <w:style w:type="character" w:customStyle="1" w:styleId="363">
    <w:name w:val="标题 9 Char1"/>
    <w:qFormat/>
    <w:uiPriority w:val="0"/>
    <w:rPr>
      <w:rFonts w:eastAsia="仿宋_GB2312"/>
      <w:sz w:val="30"/>
      <w:lang w:val="en-US" w:eastAsia="zh-CN" w:bidi="ar-SA"/>
    </w:rPr>
  </w:style>
  <w:style w:type="character" w:customStyle="1" w:styleId="364">
    <w:name w:val="标题 1 Char1"/>
    <w:qFormat/>
    <w:uiPriority w:val="0"/>
    <w:rPr>
      <w:rFonts w:eastAsia="黑体"/>
      <w:kern w:val="2"/>
      <w:sz w:val="44"/>
      <w:szCs w:val="44"/>
    </w:rPr>
  </w:style>
  <w:style w:type="character" w:customStyle="1" w:styleId="365">
    <w:name w:val="标题 4 Char1"/>
    <w:qFormat/>
    <w:uiPriority w:val="0"/>
    <w:rPr>
      <w:rFonts w:ascii="仿宋_GB2312" w:eastAsia="仿宋_GB2312" w:cs="MingLiU"/>
      <w:b/>
      <w:sz w:val="24"/>
      <w:szCs w:val="28"/>
      <w:lang w:val="en-US" w:eastAsia="zh-CN" w:bidi="ar-SA"/>
    </w:rPr>
  </w:style>
  <w:style w:type="character" w:customStyle="1" w:styleId="366">
    <w:name w:val="标题 7 Char1"/>
    <w:qFormat/>
    <w:uiPriority w:val="0"/>
    <w:rPr>
      <w:rFonts w:eastAsia="仿宋_GB2312"/>
      <w:sz w:val="30"/>
      <w:lang w:val="en-US" w:eastAsia="zh-CN" w:bidi="ar-SA"/>
    </w:rPr>
  </w:style>
  <w:style w:type="character" w:customStyle="1" w:styleId="367">
    <w:name w:val="标题 8 Char1"/>
    <w:qFormat/>
    <w:uiPriority w:val="0"/>
    <w:rPr>
      <w:rFonts w:hAnsi="Arial" w:eastAsia="仿宋_GB2312"/>
      <w:sz w:val="30"/>
      <w:lang w:val="en-US" w:eastAsia="zh-CN" w:bidi="ar-SA"/>
    </w:rPr>
  </w:style>
  <w:style w:type="character" w:customStyle="1" w:styleId="368">
    <w:name w:val="标题 2 Char1"/>
    <w:qFormat/>
    <w:uiPriority w:val="0"/>
    <w:rPr>
      <w:rFonts w:ascii="仿宋_GB2312" w:eastAsia="仿宋_GB2312" w:cs="MingLiU"/>
      <w:b/>
      <w:spacing w:val="1"/>
      <w:w w:val="99"/>
      <w:sz w:val="28"/>
      <w:szCs w:val="32"/>
      <w:lang w:val="en-US" w:eastAsia="zh-CN" w:bidi="ar-SA"/>
    </w:rPr>
  </w:style>
  <w:style w:type="character" w:customStyle="1" w:styleId="369">
    <w:name w:val="标题 6 Char1"/>
    <w:qFormat/>
    <w:uiPriority w:val="0"/>
    <w:rPr>
      <w:rFonts w:hAnsi="Arial" w:eastAsia="仿宋_GB2312"/>
      <w:sz w:val="30"/>
      <w:lang w:val="en-US" w:eastAsia="zh-CN" w:bidi="ar-SA"/>
    </w:rPr>
  </w:style>
  <w:style w:type="character" w:customStyle="1" w:styleId="370">
    <w:name w:val="Char Char17"/>
    <w:qFormat/>
    <w:uiPriority w:val="0"/>
    <w:rPr>
      <w:rFonts w:ascii="Cambria" w:hAnsi="Cambria" w:eastAsia="宋体" w:cs="Times New Roman"/>
      <w:b/>
      <w:bCs/>
      <w:kern w:val="2"/>
      <w:sz w:val="32"/>
      <w:szCs w:val="32"/>
    </w:rPr>
  </w:style>
  <w:style w:type="character" w:customStyle="1" w:styleId="371">
    <w:name w:val="不明显强调4"/>
    <w:qFormat/>
    <w:uiPriority w:val="0"/>
    <w:rPr>
      <w:i/>
      <w:iCs/>
      <w:color w:val="808080"/>
    </w:rPr>
  </w:style>
  <w:style w:type="character" w:customStyle="1" w:styleId="372">
    <w:name w:val="不明显参考4"/>
    <w:qFormat/>
    <w:uiPriority w:val="0"/>
    <w:rPr>
      <w:smallCaps/>
      <w:color w:val="C0504D"/>
      <w:u w:val="single"/>
    </w:rPr>
  </w:style>
  <w:style w:type="character" w:customStyle="1" w:styleId="373">
    <w:name w:val="书籍标题4"/>
    <w:qFormat/>
    <w:uiPriority w:val="0"/>
    <w:rPr>
      <w:b/>
      <w:bCs/>
      <w:smallCaps/>
      <w:spacing w:val="5"/>
    </w:rPr>
  </w:style>
  <w:style w:type="character" w:customStyle="1" w:styleId="374">
    <w:name w:val="明显参考5"/>
    <w:qFormat/>
    <w:uiPriority w:val="0"/>
    <w:rPr>
      <w:b/>
      <w:bCs/>
      <w:smallCaps/>
      <w:color w:val="C0504D"/>
      <w:spacing w:val="5"/>
      <w:u w:val="single"/>
    </w:rPr>
  </w:style>
  <w:style w:type="character" w:customStyle="1" w:styleId="375">
    <w:name w:val="标题 5 Char1"/>
    <w:qFormat/>
    <w:uiPriority w:val="0"/>
    <w:rPr>
      <w:rFonts w:ascii="宋体" w:hAnsi="宋体" w:eastAsia="宋体" w:cs="宋体"/>
      <w:b/>
      <w:bCs/>
      <w:lang w:val="en-US" w:eastAsia="zh-CN" w:bidi="ar-SA"/>
    </w:rPr>
  </w:style>
  <w:style w:type="paragraph" w:customStyle="1" w:styleId="376">
    <w:name w:val="修订4"/>
    <w:qFormat/>
    <w:uiPriority w:val="0"/>
    <w:rPr>
      <w:rFonts w:ascii="Times New Roman" w:hAnsi="Times New Roman" w:eastAsia="宋体" w:cs="Times New Roman"/>
      <w:kern w:val="2"/>
      <w:sz w:val="21"/>
      <w:szCs w:val="24"/>
      <w:lang w:val="en-US" w:eastAsia="zh-CN" w:bidi="ar-SA"/>
    </w:rPr>
  </w:style>
  <w:style w:type="paragraph" w:customStyle="1" w:styleId="377">
    <w:name w:val="TOC 标题5"/>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378">
    <w:name w:val="正文文本 2 Char1"/>
    <w:basedOn w:val="54"/>
    <w:qFormat/>
    <w:uiPriority w:val="99"/>
    <w:rPr>
      <w:kern w:val="2"/>
      <w:sz w:val="21"/>
      <w:szCs w:val="24"/>
    </w:rPr>
  </w:style>
  <w:style w:type="character" w:customStyle="1" w:styleId="379">
    <w:name w:val="标题 Char2"/>
    <w:qFormat/>
    <w:uiPriority w:val="10"/>
    <w:rPr>
      <w:rFonts w:ascii="Cambria" w:hAnsi="Cambria" w:cs="Times New Roman"/>
      <w:b/>
      <w:bCs/>
      <w:kern w:val="2"/>
      <w:sz w:val="32"/>
      <w:szCs w:val="32"/>
    </w:rPr>
  </w:style>
  <w:style w:type="character" w:customStyle="1" w:styleId="380">
    <w:name w:val="正文文本缩进 3 Char2"/>
    <w:basedOn w:val="54"/>
    <w:qFormat/>
    <w:uiPriority w:val="99"/>
    <w:rPr>
      <w:kern w:val="2"/>
      <w:sz w:val="16"/>
      <w:szCs w:val="16"/>
    </w:rPr>
  </w:style>
  <w:style w:type="character" w:customStyle="1" w:styleId="381">
    <w:name w:val="副标题 Char2"/>
    <w:qFormat/>
    <w:uiPriority w:val="11"/>
    <w:rPr>
      <w:rFonts w:ascii="Cambria" w:hAnsi="Cambria" w:cs="Times New Roman"/>
      <w:b/>
      <w:bCs/>
      <w:kern w:val="28"/>
      <w:sz w:val="32"/>
      <w:szCs w:val="32"/>
    </w:rPr>
  </w:style>
  <w:style w:type="paragraph" w:customStyle="1" w:styleId="38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styleId="383">
    <w:name w:val="List Paragraph"/>
    <w:basedOn w:val="1"/>
    <w:unhideWhenUsed/>
    <w:qFormat/>
    <w:uiPriority w:val="99"/>
    <w:pPr>
      <w:ind w:firstLine="420" w:firstLineChars="200"/>
    </w:pPr>
  </w:style>
  <w:style w:type="paragraph" w:customStyle="1" w:styleId="384">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385">
    <w:name w:val="纯文本2"/>
    <w:basedOn w:val="1"/>
    <w:qFormat/>
    <w:uiPriority w:val="0"/>
    <w:pPr>
      <w:widowControl/>
      <w:jc w:val="left"/>
    </w:pPr>
    <w:rPr>
      <w:rFonts w:ascii="Courier New" w:hAnsi="Courier New"/>
      <w:color w:val="000000"/>
      <w:kern w:val="0"/>
      <w:sz w:val="20"/>
      <w:szCs w:val="20"/>
      <w:lang w:eastAsia="en-US"/>
    </w:rPr>
  </w:style>
  <w:style w:type="paragraph" w:customStyle="1" w:styleId="386">
    <w:name w:val="列表段落1"/>
    <w:basedOn w:val="1"/>
    <w:qFormat/>
    <w:uiPriority w:val="34"/>
    <w:pPr>
      <w:ind w:firstLine="420" w:firstLineChars="200"/>
    </w:pPr>
    <w:rPr>
      <w:rFonts w:ascii="Calibri" w:hAnsi="Calibri"/>
      <w:szCs w:val="22"/>
    </w:rPr>
  </w:style>
  <w:style w:type="paragraph" w:customStyle="1" w:styleId="387">
    <w:name w:val="表头文本"/>
    <w:qFormat/>
    <w:uiPriority w:val="0"/>
    <w:pPr>
      <w:jc w:val="center"/>
    </w:pPr>
    <w:rPr>
      <w:rFonts w:ascii="Arial" w:hAnsi="Arial" w:eastAsia="宋体" w:cs="Times New Roman"/>
      <w:b/>
      <w:sz w:val="21"/>
      <w:lang w:val="en-US" w:eastAsia="zh-CN" w:bidi="ar-SA"/>
    </w:rPr>
  </w:style>
  <w:style w:type="paragraph" w:customStyle="1" w:styleId="38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DB105-6F03-475F-8E2F-3E0E358DB9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3499</Words>
  <Characters>19950</Characters>
  <Lines>166</Lines>
  <Paragraphs>46</Paragraphs>
  <TotalTime>7</TotalTime>
  <ScaleCrop>false</ScaleCrop>
  <LinksUpToDate>false</LinksUpToDate>
  <CharactersWithSpaces>23403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2021-03-12T06:14:00Z</dcterms:created>
  <dc:creator>AutoBVT</dc:creator>
  <cp:lastModifiedBy>丸子妹</cp:lastModifiedBy>
  <cp:lastPrinted>2019-07-16T02:19:00Z</cp:lastPrinted>
  <dcterms:modified xsi:type="dcterms:W3CDTF">2022-01-04T09:56:48Z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9AADE4536CC641BF853647209692ECFD</vt:lpwstr>
  </property>
</Properties>
</file>